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A2B" w:rsidRPr="00267F8C" w:rsidRDefault="00E77A2B" w:rsidP="00E77A2B">
      <w:pPr>
        <w:rPr>
          <w:rFonts w:ascii="Times New Roman" w:hAnsi="Times New Roman" w:cs="Times New Roman"/>
          <w:b/>
          <w:sz w:val="28"/>
          <w:szCs w:val="28"/>
        </w:rPr>
      </w:pPr>
      <w:bookmarkStart w:id="0" w:name="_GoBack"/>
      <w:bookmarkEnd w:id="0"/>
      <w:r w:rsidRPr="00267F8C">
        <w:rPr>
          <w:rFonts w:ascii="Times New Roman" w:hAnsi="Times New Roman" w:cs="Times New Roman"/>
          <w:b/>
          <w:sz w:val="28"/>
          <w:szCs w:val="28"/>
        </w:rPr>
        <w:t>Rola zasobów naturalnych i postępu technologicznego we wzroście gospodarczym</w:t>
      </w:r>
    </w:p>
    <w:p w:rsidR="00E77A2B" w:rsidRPr="00267F8C" w:rsidRDefault="00E77A2B" w:rsidP="00E77A2B">
      <w:pPr>
        <w:rPr>
          <w:rFonts w:ascii="Times New Roman" w:hAnsi="Times New Roman" w:cs="Times New Roman"/>
          <w:lang w:val="en-US"/>
        </w:rPr>
      </w:pPr>
      <w:proofErr w:type="spellStart"/>
      <w:r w:rsidRPr="00267F8C">
        <w:rPr>
          <w:rFonts w:ascii="Times New Roman" w:hAnsi="Times New Roman" w:cs="Times New Roman"/>
          <w:b/>
          <w:lang w:val="en-US"/>
        </w:rPr>
        <w:t>Recenzent</w:t>
      </w:r>
      <w:proofErr w:type="spellEnd"/>
      <w:r w:rsidRPr="00267F8C">
        <w:rPr>
          <w:rFonts w:ascii="Times New Roman" w:hAnsi="Times New Roman" w:cs="Times New Roman"/>
          <w:lang w:val="en-US"/>
        </w:rPr>
        <w:t xml:space="preserve">: Prof. Luca De </w:t>
      </w:r>
      <w:proofErr w:type="spellStart"/>
      <w:r w:rsidRPr="00267F8C">
        <w:rPr>
          <w:rFonts w:ascii="Times New Roman" w:hAnsi="Times New Roman" w:cs="Times New Roman"/>
          <w:lang w:val="en-US"/>
        </w:rPr>
        <w:t>Benedictis</w:t>
      </w:r>
      <w:proofErr w:type="spellEnd"/>
      <w:r w:rsidRPr="00267F8C">
        <w:rPr>
          <w:rFonts w:ascii="Times New Roman" w:hAnsi="Times New Roman" w:cs="Times New Roman"/>
          <w:lang w:val="en-US"/>
        </w:rPr>
        <w:t xml:space="preserve"> (</w:t>
      </w:r>
      <w:proofErr w:type="spellStart"/>
      <w:r w:rsidRPr="00267F8C">
        <w:rPr>
          <w:rFonts w:ascii="Times New Roman" w:hAnsi="Times New Roman" w:cs="Times New Roman"/>
          <w:lang w:val="en-US"/>
        </w:rPr>
        <w:t>Universitas</w:t>
      </w:r>
      <w:proofErr w:type="spellEnd"/>
      <w:r w:rsidRPr="00267F8C">
        <w:rPr>
          <w:rFonts w:ascii="Times New Roman" w:hAnsi="Times New Roman" w:cs="Times New Roman"/>
          <w:lang w:val="en-US"/>
        </w:rPr>
        <w:t xml:space="preserve"> </w:t>
      </w:r>
      <w:proofErr w:type="spellStart"/>
      <w:r w:rsidRPr="00267F8C">
        <w:rPr>
          <w:rFonts w:ascii="Times New Roman" w:hAnsi="Times New Roman" w:cs="Times New Roman"/>
          <w:lang w:val="en-US"/>
        </w:rPr>
        <w:t>Mercatorum</w:t>
      </w:r>
      <w:proofErr w:type="spellEnd"/>
      <w:r w:rsidRPr="00267F8C">
        <w:rPr>
          <w:rFonts w:ascii="Times New Roman" w:hAnsi="Times New Roman" w:cs="Times New Roman"/>
          <w:lang w:val="en-US"/>
        </w:rPr>
        <w:t>)</w:t>
      </w:r>
    </w:p>
    <w:p w:rsidR="00E77A2B" w:rsidRPr="00267F8C" w:rsidRDefault="00E77A2B" w:rsidP="00E77A2B">
      <w:pPr>
        <w:rPr>
          <w:rFonts w:ascii="Times New Roman" w:hAnsi="Times New Roman" w:cs="Times New Roman"/>
        </w:rPr>
      </w:pPr>
      <w:r w:rsidRPr="00267F8C">
        <w:rPr>
          <w:rFonts w:ascii="Times New Roman" w:hAnsi="Times New Roman" w:cs="Times New Roman"/>
          <w:b/>
        </w:rPr>
        <w:t>Data</w:t>
      </w:r>
      <w:r w:rsidRPr="00267F8C">
        <w:rPr>
          <w:rFonts w:ascii="Times New Roman" w:hAnsi="Times New Roman" w:cs="Times New Roman"/>
        </w:rPr>
        <w:t>: 19/02/2026, 14:39:00</w:t>
      </w:r>
    </w:p>
    <w:p w:rsidR="00E77A2B" w:rsidRPr="00267F8C" w:rsidRDefault="00E77A2B" w:rsidP="00E77A2B">
      <w:pPr>
        <w:rPr>
          <w:rFonts w:ascii="Times New Roman" w:hAnsi="Times New Roman" w:cs="Times New Roman"/>
        </w:rPr>
      </w:pPr>
      <w:r w:rsidRPr="00267F8C">
        <w:rPr>
          <w:rFonts w:ascii="Times New Roman" w:hAnsi="Times New Roman" w:cs="Times New Roman"/>
          <w:b/>
        </w:rPr>
        <w:t>Kandydatka</w:t>
      </w:r>
      <w:r w:rsidRPr="00267F8C">
        <w:rPr>
          <w:rFonts w:ascii="Times New Roman" w:hAnsi="Times New Roman" w:cs="Times New Roman"/>
        </w:rPr>
        <w:t>: dr ZUZANNA ZARACH</w:t>
      </w:r>
    </w:p>
    <w:p w:rsidR="00E77A2B" w:rsidRPr="00267F8C" w:rsidRDefault="00E77A2B" w:rsidP="00E77A2B">
      <w:pPr>
        <w:rPr>
          <w:rFonts w:ascii="Times New Roman" w:hAnsi="Times New Roman" w:cs="Times New Roman"/>
        </w:rPr>
      </w:pPr>
      <w:r w:rsidRPr="00267F8C">
        <w:rPr>
          <w:rFonts w:ascii="Times New Roman" w:hAnsi="Times New Roman" w:cs="Times New Roman"/>
          <w:b/>
        </w:rPr>
        <w:t>Ocena</w:t>
      </w:r>
      <w:r w:rsidRPr="00267F8C">
        <w:rPr>
          <w:rFonts w:ascii="Times New Roman" w:hAnsi="Times New Roman" w:cs="Times New Roman"/>
        </w:rPr>
        <w:t>: rozprawa doktorska</w:t>
      </w:r>
    </w:p>
    <w:p w:rsidR="00E77A2B" w:rsidRPr="00267F8C" w:rsidRDefault="00E77A2B" w:rsidP="00E77A2B">
      <w:pPr>
        <w:rPr>
          <w:rFonts w:ascii="Times New Roman" w:hAnsi="Times New Roman" w:cs="Times New Roman"/>
        </w:rPr>
      </w:pPr>
      <w:r w:rsidRPr="00267F8C">
        <w:rPr>
          <w:rFonts w:ascii="Times New Roman" w:hAnsi="Times New Roman" w:cs="Times New Roman"/>
          <w:b/>
        </w:rPr>
        <w:t>Uczelnia</w:t>
      </w:r>
      <w:r w:rsidRPr="00267F8C">
        <w:rPr>
          <w:rFonts w:ascii="Times New Roman" w:hAnsi="Times New Roman" w:cs="Times New Roman"/>
        </w:rPr>
        <w:t>: Politechnika Gdańska</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w:t>
      </w:r>
    </w:p>
    <w:p w:rsidR="00E77A2B" w:rsidRPr="00267F8C" w:rsidRDefault="00E77A2B" w:rsidP="00E77A2B">
      <w:pPr>
        <w:rPr>
          <w:rFonts w:ascii="Times New Roman" w:hAnsi="Times New Roman" w:cs="Times New Roman"/>
        </w:rPr>
      </w:pPr>
    </w:p>
    <w:p w:rsidR="00E77A2B" w:rsidRPr="00267F8C" w:rsidRDefault="00267F8C" w:rsidP="00E77A2B">
      <w:pPr>
        <w:rPr>
          <w:rFonts w:ascii="Times New Roman" w:hAnsi="Times New Roman" w:cs="Times New Roman"/>
          <w:b/>
        </w:rPr>
      </w:pPr>
      <w:r w:rsidRPr="00267F8C">
        <w:rPr>
          <w:rFonts w:ascii="Times New Roman" w:hAnsi="Times New Roman" w:cs="Times New Roman"/>
          <w:b/>
        </w:rPr>
        <w:t>Ocena o</w:t>
      </w:r>
      <w:r w:rsidR="00E77A2B" w:rsidRPr="00267F8C">
        <w:rPr>
          <w:rFonts w:ascii="Times New Roman" w:hAnsi="Times New Roman" w:cs="Times New Roman"/>
          <w:b/>
        </w:rPr>
        <w:t xml:space="preserve">gólna </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 Ocena podjętych problemów badawczych, celu(-ów) rozprawy, w tym zastosowanej metodologii badawczej.</w:t>
      </w:r>
    </w:p>
    <w:p w:rsidR="00E77A2B" w:rsidRPr="00267F8C" w:rsidRDefault="00E77A2B" w:rsidP="00E77A2B">
      <w:pPr>
        <w:rPr>
          <w:rFonts w:ascii="Times New Roman" w:hAnsi="Times New Roman" w:cs="Times New Roman"/>
        </w:rPr>
      </w:pPr>
      <w:r w:rsidRPr="00267F8C">
        <w:rPr>
          <w:rFonts w:ascii="Times New Roman" w:hAnsi="Times New Roman" w:cs="Times New Roman"/>
        </w:rPr>
        <w:t>Ocena: pozytywna.</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 Ocena oraz uzasadnienie, czy rozprawa doktorska stanowi oryginalne rozwiązanie problemu badawczego, oryginalne rozwiązanie w zakresie zastosowania wyników własnych badań naukowych w sferze gospodarczej lub społecznej.</w:t>
      </w:r>
    </w:p>
    <w:p w:rsidR="00E77A2B" w:rsidRPr="00267F8C" w:rsidRDefault="00E77A2B" w:rsidP="00E77A2B">
      <w:pPr>
        <w:rPr>
          <w:rFonts w:ascii="Times New Roman" w:hAnsi="Times New Roman" w:cs="Times New Roman"/>
        </w:rPr>
      </w:pPr>
      <w:r w:rsidRPr="00267F8C">
        <w:rPr>
          <w:rFonts w:ascii="Times New Roman" w:hAnsi="Times New Roman" w:cs="Times New Roman"/>
        </w:rPr>
        <w:t>Ocena: pozytywna.</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 Ocena, czy rozprawa doktorska prezentuje ogólną wiedzę teoretyczną w dyscyplinie lub dyscyplinach oraz wykazuje umiejętność samodzielnego prowadzenia pracy badawczej.</w:t>
      </w:r>
    </w:p>
    <w:p w:rsidR="00E77A2B" w:rsidRPr="00267F8C" w:rsidRDefault="00E77A2B" w:rsidP="00E77A2B">
      <w:pPr>
        <w:rPr>
          <w:rFonts w:ascii="Times New Roman" w:hAnsi="Times New Roman" w:cs="Times New Roman"/>
        </w:rPr>
      </w:pPr>
      <w:r w:rsidRPr="00267F8C">
        <w:rPr>
          <w:rFonts w:ascii="Times New Roman" w:hAnsi="Times New Roman" w:cs="Times New Roman"/>
        </w:rPr>
        <w:t>Ocena: pozytywna.</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 Ocena, wraz z uzasadnieniem, czy rozprawa doktorska wykazuje zdolność osoby ubiegającej się o stopień doktora do samodzielnego prowadzenia pracy naukowej.</w:t>
      </w:r>
    </w:p>
    <w:p w:rsidR="00E77A2B" w:rsidRPr="00267F8C" w:rsidRDefault="00E77A2B" w:rsidP="00E77A2B">
      <w:pPr>
        <w:rPr>
          <w:rFonts w:ascii="Times New Roman" w:hAnsi="Times New Roman" w:cs="Times New Roman"/>
        </w:rPr>
      </w:pPr>
      <w:r w:rsidRPr="00267F8C">
        <w:rPr>
          <w:rFonts w:ascii="Times New Roman" w:hAnsi="Times New Roman" w:cs="Times New Roman"/>
        </w:rPr>
        <w:t>Ocena: pozytywna.</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w:t>
      </w:r>
    </w:p>
    <w:p w:rsidR="00E77A2B" w:rsidRPr="00267F8C" w:rsidRDefault="00E77A2B" w:rsidP="00E77A2B">
      <w:pPr>
        <w:rPr>
          <w:rFonts w:ascii="Times New Roman" w:hAnsi="Times New Roman" w:cs="Times New Roman"/>
        </w:rPr>
      </w:pPr>
    </w:p>
    <w:p w:rsidR="00E77A2B" w:rsidRPr="00A104D1" w:rsidRDefault="00E77A2B" w:rsidP="00E77A2B">
      <w:pPr>
        <w:rPr>
          <w:rFonts w:ascii="Times New Roman" w:hAnsi="Times New Roman" w:cs="Times New Roman"/>
          <w:b/>
        </w:rPr>
      </w:pPr>
      <w:r w:rsidRPr="00A104D1">
        <w:rPr>
          <w:rFonts w:ascii="Times New Roman" w:hAnsi="Times New Roman" w:cs="Times New Roman"/>
          <w:b/>
        </w:rPr>
        <w:t>Wniosek</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 xml:space="preserve">1. Dopuszczenie do obrony (recenzja pozytywna), co oznacza, że przedmiotowa rozprawa doktorska spełnia wymagania stawiane rozprawom doktorskim w rozumieniu </w:t>
      </w:r>
      <w:r w:rsidR="00A104D1">
        <w:rPr>
          <w:rFonts w:ascii="Times New Roman" w:hAnsi="Times New Roman" w:cs="Times New Roman"/>
        </w:rPr>
        <w:t>A</w:t>
      </w:r>
      <w:r w:rsidRPr="00267F8C">
        <w:rPr>
          <w:rFonts w:ascii="Times New Roman" w:hAnsi="Times New Roman" w:cs="Times New Roman"/>
        </w:rPr>
        <w:t>rt. 187 ust. 1 i 2 właściwej ustawy.</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2. Poniższe uwagi mają na celu odniesienie się do drobnych niespójności wewnętrznych i należy je traktować jako sugestie zwiększające prawdopodobieństwo przekształcenia rozprawy doktorskiej w odrębne artykuły przeznaczone do publikacji w renomowanych międzynarodowych czasopismach naukowych.</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w:t>
      </w:r>
    </w:p>
    <w:p w:rsidR="00E77A2B" w:rsidRPr="00267F8C" w:rsidRDefault="00E77A2B" w:rsidP="00E77A2B">
      <w:pPr>
        <w:rPr>
          <w:rFonts w:ascii="Times New Roman" w:hAnsi="Times New Roman" w:cs="Times New Roman"/>
        </w:rPr>
      </w:pPr>
    </w:p>
    <w:p w:rsidR="00E77A2B" w:rsidRPr="00A104D1" w:rsidRDefault="00E77A2B" w:rsidP="00E77A2B">
      <w:pPr>
        <w:rPr>
          <w:rFonts w:ascii="Times New Roman" w:hAnsi="Times New Roman" w:cs="Times New Roman"/>
          <w:b/>
        </w:rPr>
      </w:pPr>
      <w:r w:rsidRPr="00A104D1">
        <w:rPr>
          <w:rFonts w:ascii="Times New Roman" w:hAnsi="Times New Roman" w:cs="Times New Roman"/>
          <w:b/>
        </w:rPr>
        <w:t>Uwagi ogólne</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A104D1">
        <w:rPr>
          <w:rFonts w:ascii="Times New Roman" w:hAnsi="Times New Roman" w:cs="Times New Roman"/>
          <w:b/>
        </w:rPr>
        <w:t>Główna teza:</w:t>
      </w:r>
      <w:r w:rsidRPr="00267F8C">
        <w:rPr>
          <w:rFonts w:ascii="Times New Roman" w:hAnsi="Times New Roman" w:cs="Times New Roman"/>
        </w:rPr>
        <w:t xml:space="preserve"> rozprawa wykorzystuje dane handlowe na poziomie produktów HS6 w celu zbadania, w jaki sposób zależność od zasobów naturalnych współdziała ze specjalizacją technologiczną, wskazując, że wysoka intensywność eksportu zasobów może być zgodna ze </w:t>
      </w:r>
      <w:r w:rsidRPr="00267F8C">
        <w:rPr>
          <w:rFonts w:ascii="Times New Roman" w:hAnsi="Times New Roman" w:cs="Times New Roman"/>
        </w:rPr>
        <w:lastRenderedPageBreak/>
        <w:t>wzrostem produktywności i dywersyfikacją, zwłaszcza przy uwzględnieniu heterogeniczności pomiędzy typami zasobów.</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w:t>
      </w:r>
    </w:p>
    <w:p w:rsidR="00E77A2B" w:rsidRPr="00267F8C" w:rsidRDefault="00E77A2B" w:rsidP="00E77A2B">
      <w:pPr>
        <w:rPr>
          <w:rFonts w:ascii="Times New Roman" w:hAnsi="Times New Roman" w:cs="Times New Roman"/>
        </w:rPr>
      </w:pPr>
    </w:p>
    <w:p w:rsidR="00E77A2B" w:rsidRPr="00A104D1" w:rsidRDefault="00E77A2B" w:rsidP="00E77A2B">
      <w:pPr>
        <w:rPr>
          <w:rFonts w:ascii="Times New Roman" w:hAnsi="Times New Roman" w:cs="Times New Roman"/>
          <w:b/>
        </w:rPr>
      </w:pPr>
      <w:r w:rsidRPr="00A104D1">
        <w:rPr>
          <w:rFonts w:ascii="Times New Roman" w:hAnsi="Times New Roman" w:cs="Times New Roman"/>
          <w:b/>
        </w:rPr>
        <w:t>Główne obszary do refleksji</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 xml:space="preserve">• </w:t>
      </w:r>
      <w:r w:rsidRPr="00A104D1">
        <w:rPr>
          <w:rFonts w:ascii="Times New Roman" w:hAnsi="Times New Roman" w:cs="Times New Roman"/>
          <w:b/>
        </w:rPr>
        <w:t>Zakres interpretacyjny i przyczynowość</w:t>
      </w:r>
      <w:r w:rsidRPr="00267F8C">
        <w:rPr>
          <w:rFonts w:ascii="Times New Roman" w:hAnsi="Times New Roman" w:cs="Times New Roman"/>
        </w:rPr>
        <w:t>. Wprowadzenie rozprawy formułuje kilka hipotez w języku przyczynowym, podczas gdy strategia empiryczna opiera się przede wszystkim na estymacjach panelowych między krajami. Warto doprecyzować, w jakim stopniu wyniki odzwierciedlają zależności warunkowe, a w jakim efekty przyczynowe. Krótka dyskusja ograniczeń identyfikacji w tym ujęciu mogłaby pomóc w dostosowaniu oczekiwań czytelnika do zastosowanej metodologii.</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 xml:space="preserve">• </w:t>
      </w:r>
      <w:r w:rsidRPr="00A104D1">
        <w:rPr>
          <w:rFonts w:ascii="Times New Roman" w:hAnsi="Times New Roman" w:cs="Times New Roman"/>
          <w:b/>
        </w:rPr>
        <w:t>Walidacja wskaźników opartych na eksporcie</w:t>
      </w:r>
      <w:r w:rsidRPr="00267F8C">
        <w:rPr>
          <w:rFonts w:ascii="Times New Roman" w:hAnsi="Times New Roman" w:cs="Times New Roman"/>
        </w:rPr>
        <w:t>. Ponieważ analiza opiera się na nowo skonstruowanych wskaźnikach udziałów eksportowych dla zasobów i technologii, czytelnicy mogliby docenić krótkie porównanie z uznanymi miarami odniesienia, takimi jak intensywność patentowa. Krótka uwaga potwierdzająca, że wykluczenie zanikających kodów HS lub określonych produktów rolnych nie determinuje obserwowanych wzorców, wzmocniłaby wiarygodność tych miar.</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 xml:space="preserve">• </w:t>
      </w:r>
      <w:r w:rsidRPr="00A104D1">
        <w:rPr>
          <w:rFonts w:ascii="Times New Roman" w:hAnsi="Times New Roman" w:cs="Times New Roman"/>
          <w:b/>
        </w:rPr>
        <w:t>Powiązania strukturalne w miarach dywersyfikacji</w:t>
      </w:r>
      <w:r w:rsidRPr="00267F8C">
        <w:rPr>
          <w:rFonts w:ascii="Times New Roman" w:hAnsi="Times New Roman" w:cs="Times New Roman"/>
        </w:rPr>
        <w:t xml:space="preserve">. Biorąc pod uwagę, że indeks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jest funkcją udziałów eksportowych, istnieje potencjalne powiązanie księgowe między wynikiem dywersyfikacji a </w:t>
      </w:r>
      <w:proofErr w:type="spellStart"/>
      <w:r w:rsidRPr="00267F8C">
        <w:rPr>
          <w:rFonts w:ascii="Times New Roman" w:hAnsi="Times New Roman" w:cs="Times New Roman"/>
        </w:rPr>
        <w:t>regresorem</w:t>
      </w:r>
      <w:proofErr w:type="spellEnd"/>
      <w:r w:rsidRPr="00267F8C">
        <w:rPr>
          <w:rFonts w:ascii="Times New Roman" w:hAnsi="Times New Roman" w:cs="Times New Roman"/>
        </w:rPr>
        <w:t xml:space="preserve"> udziału zasobów. Jawne przedstawienie dekompozycji algebraicznej mogłoby wyjaśnić, które komponenty determinują wyniki. Dodatkowa, ograniczona analiza odporności z wykorzystaniem miary dywersyfikacji niezależnej od zasobów mogłaby dodatkowo przekonać czytelników, że uzyskane wyniki odzwierciedlają rzeczywiste mechanizmy ekonomiczne, a nie zależności mechaniczne.</w:t>
      </w:r>
    </w:p>
    <w:p w:rsidR="00E77A2B" w:rsidRPr="00267F8C" w:rsidRDefault="00E77A2B" w:rsidP="00E77A2B">
      <w:pPr>
        <w:rPr>
          <w:rFonts w:ascii="Times New Roman" w:hAnsi="Times New Roman" w:cs="Times New Roman"/>
        </w:rPr>
      </w:pPr>
    </w:p>
    <w:p w:rsidR="00E77A2B" w:rsidRPr="00267F8C" w:rsidRDefault="00A104D1" w:rsidP="00E77A2B">
      <w:pPr>
        <w:rPr>
          <w:rFonts w:ascii="Times New Roman" w:hAnsi="Times New Roman" w:cs="Times New Roman"/>
        </w:rPr>
      </w:pPr>
      <w:r>
        <w:rPr>
          <w:rFonts w:ascii="Times New Roman" w:hAnsi="Times New Roman" w:cs="Times New Roman"/>
        </w:rPr>
        <w:t xml:space="preserve">• </w:t>
      </w:r>
      <w:r w:rsidR="00E77A2B" w:rsidRPr="00A104D1">
        <w:rPr>
          <w:rFonts w:ascii="Times New Roman" w:hAnsi="Times New Roman" w:cs="Times New Roman"/>
          <w:b/>
        </w:rPr>
        <w:t>Umiejscowienie wkładu badawczego</w:t>
      </w:r>
      <w:r w:rsidR="00E77A2B" w:rsidRPr="00267F8C">
        <w:rPr>
          <w:rFonts w:ascii="Times New Roman" w:hAnsi="Times New Roman" w:cs="Times New Roman"/>
        </w:rPr>
        <w:t>. Praca obejmuje szeroki zakres relacji w obrębie dojrzałej literatury dotyczącej „klątwy surowcowej”. Aby wyraźniej uwypuklić specyficzną nowość badania — w szczególności heterogeniczność między typami zasobów oraz rolę nowo zdefiniowanych klastrów technologicznych — pomocne może być uporządkowanie narracji wokół tych unikatowych faktów stylizowanych. Wyostrzenie tego akcentu pozwoliłoby wyraźniej odróżnić wyniki od dotychczasowego konsensusu.</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w:t>
      </w:r>
    </w:p>
    <w:p w:rsidR="00E77A2B" w:rsidRPr="00267F8C" w:rsidRDefault="00E77A2B" w:rsidP="00E77A2B">
      <w:pPr>
        <w:rPr>
          <w:rFonts w:ascii="Times New Roman" w:hAnsi="Times New Roman" w:cs="Times New Roman"/>
        </w:rPr>
      </w:pPr>
    </w:p>
    <w:p w:rsidR="00E77A2B" w:rsidRPr="00A104D1" w:rsidRDefault="00E77A2B" w:rsidP="00E77A2B">
      <w:pPr>
        <w:rPr>
          <w:rFonts w:ascii="Times New Roman" w:hAnsi="Times New Roman" w:cs="Times New Roman"/>
          <w:b/>
          <w:sz w:val="28"/>
          <w:szCs w:val="28"/>
        </w:rPr>
      </w:pPr>
      <w:r w:rsidRPr="00A104D1">
        <w:rPr>
          <w:rFonts w:ascii="Times New Roman" w:hAnsi="Times New Roman" w:cs="Times New Roman"/>
          <w:b/>
          <w:sz w:val="28"/>
          <w:szCs w:val="28"/>
        </w:rPr>
        <w:t>Uwagi szczegółowe</w:t>
      </w:r>
    </w:p>
    <w:p w:rsidR="00E77A2B" w:rsidRPr="00267F8C" w:rsidRDefault="00E77A2B" w:rsidP="00E77A2B">
      <w:pPr>
        <w:rPr>
          <w:rFonts w:ascii="Times New Roman" w:hAnsi="Times New Roman" w:cs="Times New Roman"/>
        </w:rPr>
      </w:pPr>
    </w:p>
    <w:p w:rsidR="00E77A2B" w:rsidRPr="00DD05DD" w:rsidRDefault="00E77A2B" w:rsidP="00E77A2B">
      <w:pPr>
        <w:rPr>
          <w:rFonts w:ascii="Times New Roman" w:hAnsi="Times New Roman" w:cs="Times New Roman"/>
          <w:b/>
        </w:rPr>
      </w:pPr>
      <w:r w:rsidRPr="00DD05DD">
        <w:rPr>
          <w:rFonts w:ascii="Times New Roman" w:hAnsi="Times New Roman" w:cs="Times New Roman"/>
          <w:b/>
        </w:rPr>
        <w:t>1. Nieużywane skróty w wykazie</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DD05DD">
        <w:rPr>
          <w:rFonts w:ascii="Times New Roman" w:hAnsi="Times New Roman" w:cs="Times New Roman"/>
          <w:b/>
        </w:rPr>
        <w:t>Cytat</w:t>
      </w:r>
      <w:r w:rsidRPr="00267F8C">
        <w:rPr>
          <w:rFonts w:ascii="Times New Roman" w:hAnsi="Times New Roman" w:cs="Times New Roman"/>
        </w:rPr>
        <w:t xml:space="preserve">: &gt; COAL - taksonomia zasobów naturalnych obejmująca produkty węglowe. DIV - dywersyfikacja eksportu. FORESTRY - taksonomia zasobów naturalnych obejmująca produkty leśne. FUEL - taksonomia zasobów naturalnych obejmująca produkty paliw kopalnych. ... RCA - ujawniona przewaga komparatywna. RT - względny indeks </w:t>
      </w:r>
      <w:proofErr w:type="spellStart"/>
      <w:r w:rsidRPr="00267F8C">
        <w:rPr>
          <w:rFonts w:ascii="Times New Roman" w:hAnsi="Times New Roman" w:cs="Times New Roman"/>
        </w:rPr>
        <w:t>Theila</w:t>
      </w:r>
      <w:proofErr w:type="spellEnd"/>
      <w:r w:rsidRPr="00267F8C">
        <w:rPr>
          <w:rFonts w:ascii="Times New Roman" w:hAnsi="Times New Roman" w:cs="Times New Roman"/>
        </w:rPr>
        <w:t>. SPEC - specjalizacja eksportowa. TECH - produkty związane ze średnio- i wysokotechnologicznymi produktami.</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DD05DD">
        <w:rPr>
          <w:rFonts w:ascii="Times New Roman" w:hAnsi="Times New Roman" w:cs="Times New Roman"/>
          <w:b/>
        </w:rPr>
        <w:lastRenderedPageBreak/>
        <w:t>Uwagi</w:t>
      </w:r>
      <w:r w:rsidRPr="00267F8C">
        <w:rPr>
          <w:rFonts w:ascii="Times New Roman" w:hAnsi="Times New Roman" w:cs="Times New Roman"/>
        </w:rPr>
        <w:t>: DIV (dywersyfikacja eksportu) oraz SPEC (specjalizacja eksportowa) zostały zdefiniowane w wykazie skrótów, jednakże nie wydają się być używane jako skróty w dalszej części tekstu, równaniach ani tabelach. W celu zachowania pełnej spójności części wstępnej z zastosowaną notacją, wskazane byłoby albo usunięcie tych pozycji z wykazu, albo ich konsekwentne wprowadzenie i stosowanie w głównych rozdziałach.</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w:t>
      </w:r>
    </w:p>
    <w:p w:rsidR="00E77A2B" w:rsidRPr="00267F8C" w:rsidRDefault="00E77A2B" w:rsidP="00E77A2B">
      <w:pPr>
        <w:rPr>
          <w:rFonts w:ascii="Times New Roman" w:hAnsi="Times New Roman" w:cs="Times New Roman"/>
        </w:rPr>
      </w:pPr>
    </w:p>
    <w:p w:rsidR="00E77A2B" w:rsidRPr="00DD05DD" w:rsidRDefault="00E77A2B" w:rsidP="00E77A2B">
      <w:pPr>
        <w:rPr>
          <w:rFonts w:ascii="Times New Roman" w:hAnsi="Times New Roman" w:cs="Times New Roman"/>
          <w:b/>
        </w:rPr>
      </w:pPr>
      <w:r w:rsidRPr="00DD05DD">
        <w:rPr>
          <w:rFonts w:ascii="Times New Roman" w:hAnsi="Times New Roman" w:cs="Times New Roman"/>
          <w:b/>
        </w:rPr>
        <w:t>2. Ujęcie problemu teoretycznego we Wprowadzeniu</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DD05DD">
        <w:rPr>
          <w:rFonts w:ascii="Times New Roman" w:hAnsi="Times New Roman" w:cs="Times New Roman"/>
          <w:b/>
        </w:rPr>
        <w:t>Cytat</w:t>
      </w:r>
      <w:r w:rsidRPr="00267F8C">
        <w:rPr>
          <w:rFonts w:ascii="Times New Roman" w:hAnsi="Times New Roman" w:cs="Times New Roman"/>
        </w:rPr>
        <w:t>: &gt; Teoria ekonomii nie dostarcza satysfakcjonującego wyjaśnienia, dlaczego posiadanie zasobów naturalnych miałoby być niekorzystne (</w:t>
      </w:r>
      <w:proofErr w:type="spellStart"/>
      <w:r w:rsidRPr="00267F8C">
        <w:rPr>
          <w:rFonts w:ascii="Times New Roman" w:hAnsi="Times New Roman" w:cs="Times New Roman"/>
        </w:rPr>
        <w:t>Mellor</w:t>
      </w:r>
      <w:proofErr w:type="spellEnd"/>
      <w:r w:rsidRPr="00267F8C">
        <w:rPr>
          <w:rFonts w:ascii="Times New Roman" w:hAnsi="Times New Roman" w:cs="Times New Roman"/>
        </w:rPr>
        <w:t>, 1995; Auty, 2001; Lewis, 2009). Przeciwnie, niektóre wpływowe teorie handlu sugerują, że dobra są produkowane taniej przez kraje posiadające obfitość zasobów wykorzystywanych w ich produkcji (</w:t>
      </w:r>
      <w:proofErr w:type="spellStart"/>
      <w:r w:rsidRPr="00267F8C">
        <w:rPr>
          <w:rFonts w:ascii="Times New Roman" w:hAnsi="Times New Roman" w:cs="Times New Roman"/>
        </w:rPr>
        <w:t>Heckscher</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Ohlin</w:t>
      </w:r>
      <w:proofErr w:type="spellEnd"/>
      <w:r w:rsidRPr="00267F8C">
        <w:rPr>
          <w:rFonts w:ascii="Times New Roman" w:hAnsi="Times New Roman" w:cs="Times New Roman"/>
        </w:rPr>
        <w:t xml:space="preserve">, 1991), podczas gdy dodatkowe renty z eksportu zasobów naturalnych umożliwiają wyższe inwestycje i większe możliwości importu dóbr kapitałowych (Auty i </w:t>
      </w:r>
      <w:proofErr w:type="spellStart"/>
      <w:r w:rsidRPr="00267F8C">
        <w:rPr>
          <w:rFonts w:ascii="Times New Roman" w:hAnsi="Times New Roman" w:cs="Times New Roman"/>
        </w:rPr>
        <w:t>Mikesell</w:t>
      </w:r>
      <w:proofErr w:type="spellEnd"/>
      <w:r w:rsidRPr="00267F8C">
        <w:rPr>
          <w:rFonts w:ascii="Times New Roman" w:hAnsi="Times New Roman" w:cs="Times New Roman"/>
        </w:rPr>
        <w:t>, 1998).</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DD05DD">
        <w:rPr>
          <w:rFonts w:ascii="Times New Roman" w:hAnsi="Times New Roman" w:cs="Times New Roman"/>
          <w:b/>
        </w:rPr>
        <w:t>Uwagi</w:t>
      </w:r>
      <w:r w:rsidRPr="00267F8C">
        <w:rPr>
          <w:rFonts w:ascii="Times New Roman" w:hAnsi="Times New Roman" w:cs="Times New Roman"/>
        </w:rPr>
        <w:t xml:space="preserve">: Stwierdzenie „teoria ekonomii nie dostarcza satysfakcjonującego wyjaśnienia, dlaczego posiadanie zasobów naturalnych miałoby być niekorzystne” początkowo może sugerować brak jakichkolwiek modeli teoretycznych generujących negatywne efekty odkryć zasobów. Po lekturze sekcji 2.2 staje się jednak jasne, że autorka nawiązuje do argumentu </w:t>
      </w:r>
      <w:proofErr w:type="spellStart"/>
      <w:r w:rsidRPr="00267F8C">
        <w:rPr>
          <w:rFonts w:ascii="Times New Roman" w:hAnsi="Times New Roman" w:cs="Times New Roman"/>
        </w:rPr>
        <w:t>Mellora</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Auty’ego</w:t>
      </w:r>
      <w:proofErr w:type="spellEnd"/>
      <w:r w:rsidRPr="00267F8C">
        <w:rPr>
          <w:rFonts w:ascii="Times New Roman" w:hAnsi="Times New Roman" w:cs="Times New Roman"/>
        </w:rPr>
        <w:t xml:space="preserve"> i Lewisa dotyczącego braku szerokiego, konsensualnego wyjaśnienia w głównym nurcie teorii wzrostu i handlu, a także omawia </w:t>
      </w:r>
      <w:r w:rsidR="00DD05DD">
        <w:rPr>
          <w:rFonts w:ascii="Times New Roman" w:hAnsi="Times New Roman" w:cs="Times New Roman"/>
        </w:rPr>
        <w:t>C</w:t>
      </w:r>
      <w:r w:rsidRPr="00267F8C">
        <w:rPr>
          <w:rFonts w:ascii="Times New Roman" w:hAnsi="Times New Roman" w:cs="Times New Roman"/>
        </w:rPr>
        <w:t xml:space="preserve">horobę </w:t>
      </w:r>
      <w:r w:rsidR="00DD05DD">
        <w:rPr>
          <w:rFonts w:ascii="Times New Roman" w:hAnsi="Times New Roman" w:cs="Times New Roman"/>
        </w:rPr>
        <w:t>H</w:t>
      </w:r>
      <w:r w:rsidRPr="00267F8C">
        <w:rPr>
          <w:rFonts w:ascii="Times New Roman" w:hAnsi="Times New Roman" w:cs="Times New Roman"/>
        </w:rPr>
        <w:t>olenderską i inne mechanizmy jako częściowe, warunkowe kanały oddziaływania.</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 xml:space="preserve">Biorąc pod uwagę, że koncepcja </w:t>
      </w:r>
      <w:r w:rsidR="00DD05DD">
        <w:rPr>
          <w:rFonts w:ascii="Times New Roman" w:hAnsi="Times New Roman" w:cs="Times New Roman"/>
        </w:rPr>
        <w:t>C</w:t>
      </w:r>
      <w:r w:rsidRPr="00267F8C">
        <w:rPr>
          <w:rFonts w:ascii="Times New Roman" w:hAnsi="Times New Roman" w:cs="Times New Roman"/>
        </w:rPr>
        <w:t xml:space="preserve">horoby </w:t>
      </w:r>
      <w:r w:rsidR="00DD05DD">
        <w:rPr>
          <w:rFonts w:ascii="Times New Roman" w:hAnsi="Times New Roman" w:cs="Times New Roman"/>
        </w:rPr>
        <w:t>H</w:t>
      </w:r>
      <w:r w:rsidRPr="00267F8C">
        <w:rPr>
          <w:rFonts w:ascii="Times New Roman" w:hAnsi="Times New Roman" w:cs="Times New Roman"/>
        </w:rPr>
        <w:t>olenderskiej jest powszechnie uznawana za istotne wyjaśnienie teoretyczne części negatywnych skutków zasobów, warto rozważyć doprecyzowanie we wprowadzeniu, co oznacza „brak satysfakcjonującego wyjaśnienia” (np. brak jednej, powszechnie akceptowanej lub uniwersalnej teorii) oraz wyraźniejsze powiązanie tego stwierdzenia z dalszą dyskusją w sekcji 2.2. Pozwoli to uniknąć interpretacji silniejszego twierdzenia, niż zamierzone.</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267F8C">
        <w:rPr>
          <w:rFonts w:ascii="Times New Roman" w:hAnsi="Times New Roman" w:cs="Times New Roman"/>
        </w:rPr>
        <w:t>---</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DD05DD">
        <w:rPr>
          <w:rFonts w:ascii="Times New Roman" w:hAnsi="Times New Roman" w:cs="Times New Roman"/>
          <w:b/>
        </w:rPr>
        <w:t>3. Sprzeczność dotycząca nowości dekompozycji opartej na zasobach</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6B695B">
        <w:rPr>
          <w:rFonts w:ascii="Times New Roman" w:hAnsi="Times New Roman" w:cs="Times New Roman"/>
          <w:b/>
        </w:rPr>
        <w:t>Cytat:</w:t>
      </w:r>
      <w:r w:rsidRPr="00267F8C">
        <w:rPr>
          <w:rFonts w:ascii="Times New Roman" w:hAnsi="Times New Roman" w:cs="Times New Roman"/>
        </w:rPr>
        <w:t xml:space="preserve"> &gt; Ostatecznie, rola zależności od zasobów w trajektoriach dywersyfikacji eksportu nie została wystarczająco zbadana, szczególnie w przypadku krajów o niskich dochodach bogatych w zasoby, narażonych na ryzyko nadmiernej specjalizacji eksportowej. W szczególności, zgodnie z moją najlepszą wiedzą, dekompozycja krzywej dywersyfikacji eksportu oparta na zasobach, przedstawiająca zależność między heterogenicznością struktur handlowych a procesem wzrostu gospodarczego (De </w:t>
      </w:r>
      <w:proofErr w:type="spellStart"/>
      <w:r w:rsidRPr="00267F8C">
        <w:rPr>
          <w:rFonts w:ascii="Times New Roman" w:hAnsi="Times New Roman" w:cs="Times New Roman"/>
        </w:rPr>
        <w:t>Benedictis</w:t>
      </w:r>
      <w:proofErr w:type="spellEnd"/>
      <w:r w:rsidRPr="00267F8C">
        <w:rPr>
          <w:rFonts w:ascii="Times New Roman" w:hAnsi="Times New Roman" w:cs="Times New Roman"/>
        </w:rPr>
        <w:t xml:space="preserve"> i in., 2009;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Parteka i </w:t>
      </w:r>
      <w:proofErr w:type="spellStart"/>
      <w:r w:rsidRPr="00267F8C">
        <w:rPr>
          <w:rFonts w:ascii="Times New Roman" w:hAnsi="Times New Roman" w:cs="Times New Roman"/>
        </w:rPr>
        <w:t>Tamberi</w:t>
      </w:r>
      <w:proofErr w:type="spellEnd"/>
      <w:r w:rsidRPr="00267F8C">
        <w:rPr>
          <w:rFonts w:ascii="Times New Roman" w:hAnsi="Times New Roman" w:cs="Times New Roman"/>
        </w:rPr>
        <w:t xml:space="preserve">, 2013b; </w:t>
      </w:r>
      <w:proofErr w:type="spellStart"/>
      <w:r w:rsidRPr="00267F8C">
        <w:rPr>
          <w:rFonts w:ascii="Times New Roman" w:hAnsi="Times New Roman" w:cs="Times New Roman"/>
        </w:rPr>
        <w:t>Gnidchenko</w:t>
      </w:r>
      <w:proofErr w:type="spellEnd"/>
      <w:r w:rsidRPr="00267F8C">
        <w:rPr>
          <w:rFonts w:ascii="Times New Roman" w:hAnsi="Times New Roman" w:cs="Times New Roman"/>
        </w:rPr>
        <w:t>, 2021; Parteka i in., 2025), nie została dotychczas przeprowadzona.</w:t>
      </w:r>
    </w:p>
    <w:p w:rsidR="00E77A2B" w:rsidRPr="00267F8C" w:rsidRDefault="00E77A2B" w:rsidP="00E77A2B">
      <w:pPr>
        <w:rPr>
          <w:rFonts w:ascii="Times New Roman" w:hAnsi="Times New Roman" w:cs="Times New Roman"/>
        </w:rPr>
      </w:pPr>
    </w:p>
    <w:p w:rsidR="00E77A2B" w:rsidRPr="00267F8C" w:rsidRDefault="00E77A2B" w:rsidP="00E77A2B">
      <w:pPr>
        <w:rPr>
          <w:rFonts w:ascii="Times New Roman" w:hAnsi="Times New Roman" w:cs="Times New Roman"/>
        </w:rPr>
      </w:pPr>
      <w:r w:rsidRPr="006B695B">
        <w:rPr>
          <w:rFonts w:ascii="Times New Roman" w:hAnsi="Times New Roman" w:cs="Times New Roman"/>
          <w:b/>
        </w:rPr>
        <w:t>Uwagi</w:t>
      </w:r>
      <w:r w:rsidRPr="00267F8C">
        <w:rPr>
          <w:rFonts w:ascii="Times New Roman" w:hAnsi="Times New Roman" w:cs="Times New Roman"/>
        </w:rPr>
        <w:t xml:space="preserve">: Przytoczone zdanie stwierdza, że „dekompozycja krzywej dywersyfikacji eksportu oparta na zasobach… nie została dotychczas przeprowadzona”. Jednak dalsze części rozprawy wskazują, że nie jest to w pełni trafne. Sekcja 2.4 wyraźnie wskazuje pracę Zarach i Parteka (2023a) jako wyjątek, który łączy zależność od zasobów naturalnych z dynamiką </w:t>
      </w:r>
      <w:r w:rsidRPr="00267F8C">
        <w:rPr>
          <w:rFonts w:ascii="Times New Roman" w:hAnsi="Times New Roman" w:cs="Times New Roman"/>
        </w:rPr>
        <w:lastRenderedPageBreak/>
        <w:t xml:space="preserve">dywersyfikacji, a sekcja 3.4 przypisuje Zarach i Parteka (2023a) (wraz z Parteka i in., 2025) przeprowadzenie dekompozycji względnego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oraz krzywej dywersyfikacji eksportu według grup produktów, z wykorzystaniem podziału na zasoby i dobra </w:t>
      </w:r>
      <w:proofErr w:type="spellStart"/>
      <w:r w:rsidRPr="00267F8C">
        <w:rPr>
          <w:rFonts w:ascii="Times New Roman" w:hAnsi="Times New Roman" w:cs="Times New Roman"/>
        </w:rPr>
        <w:t>pozazasobowe</w:t>
      </w:r>
      <w:proofErr w:type="spellEnd"/>
      <w:r w:rsidRPr="00267F8C">
        <w:rPr>
          <w:rFonts w:ascii="Times New Roman" w:hAnsi="Times New Roman" w:cs="Times New Roman"/>
        </w:rPr>
        <w:t>.</w:t>
      </w:r>
    </w:p>
    <w:p w:rsidR="00E77A2B" w:rsidRPr="00267F8C" w:rsidRDefault="00E77A2B" w:rsidP="00E77A2B">
      <w:pPr>
        <w:rPr>
          <w:rFonts w:ascii="Times New Roman" w:hAnsi="Times New Roman" w:cs="Times New Roman"/>
        </w:rPr>
      </w:pPr>
    </w:p>
    <w:p w:rsidR="002066D1" w:rsidRDefault="00E77A2B" w:rsidP="00E77A2B">
      <w:pPr>
        <w:rPr>
          <w:rFonts w:ascii="Times New Roman" w:hAnsi="Times New Roman" w:cs="Times New Roman"/>
        </w:rPr>
      </w:pPr>
      <w:r w:rsidRPr="00267F8C">
        <w:rPr>
          <w:rFonts w:ascii="Times New Roman" w:hAnsi="Times New Roman" w:cs="Times New Roman"/>
        </w:rPr>
        <w:t>Biorąc pod uwagę, że rozdział 5 opiera się na tym współautorskim artykule oraz że metodologia dekompozycji opartej na zasobach została tam już opisana, stwierdzenie we wprowadzeniu, iż taka dekompozycja „nie została dotychczas przeprowadzona”, zawyża stopień nowości metodologicznej w momencie powstawania rozprawy. Bardziej przejrzyste byłoby przedstawienie wkładu pracy jako rozwinięcia i pogłębienia istniejącej dekompozycji opartej na zasobach (np. poprzez wykorzystanie dłuższego okresu badawczego, innych grup krajów lub dodatkowych taksonomii), zamiast jako pierwszego przykładu takiej dekompozycji.</w:t>
      </w:r>
    </w:p>
    <w:p w:rsidR="00E971B2" w:rsidRPr="00267F8C" w:rsidRDefault="00E971B2" w:rsidP="00E77A2B">
      <w:pPr>
        <w:rPr>
          <w:rFonts w:ascii="Times New Roman" w:hAnsi="Times New Roman" w:cs="Times New Roman"/>
        </w:rPr>
      </w:pPr>
      <w:r>
        <w:rPr>
          <w:rFonts w:ascii="Times New Roman" w:hAnsi="Times New Roman" w:cs="Times New Roman"/>
        </w:rPr>
        <w:t>---</w:t>
      </w:r>
    </w:p>
    <w:p w:rsidR="003A56FC" w:rsidRPr="00267F8C" w:rsidRDefault="003A56FC" w:rsidP="003A56FC">
      <w:pPr>
        <w:rPr>
          <w:rFonts w:ascii="Times New Roman" w:hAnsi="Times New Roman" w:cs="Times New Roman"/>
        </w:rPr>
      </w:pPr>
      <w:r w:rsidRPr="00E971B2">
        <w:rPr>
          <w:rFonts w:ascii="Times New Roman" w:hAnsi="Times New Roman" w:cs="Times New Roman"/>
          <w:b/>
        </w:rPr>
        <w:t>4. Niezgodność między hipotezą H4 a opisem przeprowadzonej analizy</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E971B2">
        <w:rPr>
          <w:rFonts w:ascii="Times New Roman" w:hAnsi="Times New Roman" w:cs="Times New Roman"/>
          <w:b/>
        </w:rPr>
        <w:t>Cytat</w:t>
      </w:r>
      <w:r w:rsidRPr="00267F8C">
        <w:rPr>
          <w:rFonts w:ascii="Times New Roman" w:hAnsi="Times New Roman" w:cs="Times New Roman"/>
        </w:rPr>
        <w:t>: &gt; H4. Trajektorie dywersyfikacji eksporterów zasobów są determinowane przez innowacje technologiczne.</w:t>
      </w:r>
    </w:p>
    <w:p w:rsidR="003A56FC" w:rsidRPr="00267F8C" w:rsidRDefault="003A56FC" w:rsidP="003A56FC">
      <w:pPr>
        <w:rPr>
          <w:rFonts w:ascii="Times New Roman" w:hAnsi="Times New Roman" w:cs="Times New Roman"/>
        </w:rPr>
      </w:pPr>
      <w:r w:rsidRPr="00267F8C">
        <w:rPr>
          <w:rFonts w:ascii="Times New Roman" w:hAnsi="Times New Roman" w:cs="Times New Roman"/>
        </w:rPr>
        <w:t>H4 identyfikuje kluczowe czynniki wpływające na relację między dywersyfikacją eksportu a eksportem zasobów naturalnych. Zapewnia to głębsze zrozumienie trajektorii dywersyfikacji w krajach zależnych od zasobów.</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E971B2">
        <w:rPr>
          <w:rFonts w:ascii="Times New Roman" w:hAnsi="Times New Roman" w:cs="Times New Roman"/>
          <w:b/>
        </w:rPr>
        <w:t>Uwagi</w:t>
      </w:r>
      <w:r w:rsidRPr="00267F8C">
        <w:rPr>
          <w:rFonts w:ascii="Times New Roman" w:hAnsi="Times New Roman" w:cs="Times New Roman"/>
        </w:rPr>
        <w:t>: Zestawienie hipotezy H4 z jej krótkim opisem początkowo czyni zakres tej hipotezy nieco niejasnym. Sama H4 stwierdza, że „trajektorie dywersyfikacji eksporterów zasobów są determinowane przez innowacje technologiczne”, natomiast następujące po niej zdanie ogólne wskazuje bardziej ogólnie, że „H4 identyfikuje kluczowe czynniki wpływające na relację między dywersyfikacją eksportu a eksportem zasobów naturalnych”, a sekcja 5.3 analizuje zarówno jakość instytucjonalną, jak i innowacje technologiczne.</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267F8C">
        <w:rPr>
          <w:rFonts w:ascii="Times New Roman" w:hAnsi="Times New Roman" w:cs="Times New Roman"/>
        </w:rPr>
        <w:t>Po zapoznaniu się z wnioskami staje się jasne, że H4 ma dotyczyć konkretnie roli innowacji technologicznych w kształtowaniu lub łagodzeniu trajektorii dywersyfikacji, podczas gdy jakość instytucjonalna analizowana jest jako dodatkowy, komplementarny czynnik. Pomocne dla czytelnika mogłoby być jednak wyraźne powtórzenie we wprowadzeniu, że H4 dotyczy „innowacji technologicznych”, zamiast użycia bardziej ogólnego określenia „kluczowe czynniki”, a także krótkie doprecyzowanie w sekcji 5.3, że wyniki dotyczące jakości instytucjonalnej mają charakter uzupełniający, a nie stanowią części formalnej hipotezy H4.</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267F8C">
        <w:rPr>
          <w:rFonts w:ascii="Times New Roman" w:hAnsi="Times New Roman" w:cs="Times New Roman"/>
        </w:rPr>
        <w:t>---</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5. Niespójny plan przeglądu literatury</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Cytat:</w:t>
      </w:r>
      <w:r w:rsidRPr="00267F8C">
        <w:rPr>
          <w:rFonts w:ascii="Times New Roman" w:hAnsi="Times New Roman" w:cs="Times New Roman"/>
        </w:rPr>
        <w:t xml:space="preserve"> &gt; Niniejszy rozdział podsumowuje aktualny stan dyskusji na temat ekonomicznych skutków zasobów naturalnych oraz przedstawia kompleksowy przegląd literatury dotyczącej zagadnień związanych z celami tej rozprawy, a mianowicie: (1) mechanizmów wzrostu w teorii ekonomii, (2) transformacji strukturalnej i dynamiki dywersyfikacji oraz (3) efektów wzrostowych postępu technologicznego i współczesnego paradoksu produktywności.</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Uwagi</w:t>
      </w:r>
      <w:r w:rsidRPr="00267F8C">
        <w:rPr>
          <w:rFonts w:ascii="Times New Roman" w:hAnsi="Times New Roman" w:cs="Times New Roman"/>
        </w:rPr>
        <w:t xml:space="preserve">: Wstępny plan rozdziału 2 nie jest w pełni zgodny z jego rzeczywistą strukturą. Przytoczone zdanie zapowiada omówienie trzech zagadnień: (1) mechanizmów wzrostu w teorii ekonomii, (2) transformacji strukturalnej i dynamiki dywersyfikacji oraz (3) efektów </w:t>
      </w:r>
      <w:r w:rsidRPr="00267F8C">
        <w:rPr>
          <w:rFonts w:ascii="Times New Roman" w:hAnsi="Times New Roman" w:cs="Times New Roman"/>
        </w:rPr>
        <w:lastRenderedPageBreak/>
        <w:t>wzrostowych postępu technologicznego i współczesnego paradoksu produktywności. W rzeczywistym układzie rozdziału występują jednak cztery odrębne wątki, odzwierciedlone w sekcjach 2.1–2.4, przy czym ich kolejność jest odmienna:</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267F8C">
        <w:rPr>
          <w:rFonts w:ascii="Times New Roman" w:hAnsi="Times New Roman" w:cs="Times New Roman"/>
        </w:rPr>
        <w:t>• 2.1. Mechanizmy wzrostu w teorii ekonomii</w:t>
      </w:r>
    </w:p>
    <w:p w:rsidR="003A56FC" w:rsidRPr="00267F8C" w:rsidRDefault="003A56FC" w:rsidP="003A56FC">
      <w:pPr>
        <w:rPr>
          <w:rFonts w:ascii="Times New Roman" w:hAnsi="Times New Roman" w:cs="Times New Roman"/>
        </w:rPr>
      </w:pPr>
      <w:r w:rsidRPr="00267F8C">
        <w:rPr>
          <w:rFonts w:ascii="Times New Roman" w:hAnsi="Times New Roman" w:cs="Times New Roman"/>
        </w:rPr>
        <w:t xml:space="preserve">• 2.2. Zasoby naturalne a wzrost – debata nad </w:t>
      </w:r>
      <w:r w:rsidR="0007422F">
        <w:rPr>
          <w:rFonts w:ascii="Times New Roman" w:hAnsi="Times New Roman" w:cs="Times New Roman"/>
        </w:rPr>
        <w:t>K</w:t>
      </w:r>
      <w:r w:rsidRPr="00267F8C">
        <w:rPr>
          <w:rFonts w:ascii="Times New Roman" w:hAnsi="Times New Roman" w:cs="Times New Roman"/>
        </w:rPr>
        <w:t xml:space="preserve">lątwą </w:t>
      </w:r>
      <w:r w:rsidR="0007422F">
        <w:rPr>
          <w:rFonts w:ascii="Times New Roman" w:hAnsi="Times New Roman" w:cs="Times New Roman"/>
        </w:rPr>
        <w:t>S</w:t>
      </w:r>
      <w:r w:rsidRPr="00267F8C">
        <w:rPr>
          <w:rFonts w:ascii="Times New Roman" w:hAnsi="Times New Roman" w:cs="Times New Roman"/>
        </w:rPr>
        <w:t>urowcową</w:t>
      </w:r>
    </w:p>
    <w:p w:rsidR="003A56FC" w:rsidRPr="00267F8C" w:rsidRDefault="003A56FC" w:rsidP="003A56FC">
      <w:pPr>
        <w:rPr>
          <w:rFonts w:ascii="Times New Roman" w:hAnsi="Times New Roman" w:cs="Times New Roman"/>
        </w:rPr>
      </w:pPr>
      <w:r w:rsidRPr="00267F8C">
        <w:rPr>
          <w:rFonts w:ascii="Times New Roman" w:hAnsi="Times New Roman" w:cs="Times New Roman"/>
        </w:rPr>
        <w:t>• 2.3. Efekty wzrostowe postępu technologicznego i współczesny paradoks produktywności</w:t>
      </w:r>
    </w:p>
    <w:p w:rsidR="003A56FC" w:rsidRPr="00267F8C" w:rsidRDefault="003A56FC" w:rsidP="003A56FC">
      <w:pPr>
        <w:rPr>
          <w:rFonts w:ascii="Times New Roman" w:hAnsi="Times New Roman" w:cs="Times New Roman"/>
        </w:rPr>
      </w:pPr>
      <w:r w:rsidRPr="00267F8C">
        <w:rPr>
          <w:rFonts w:ascii="Times New Roman" w:hAnsi="Times New Roman" w:cs="Times New Roman"/>
        </w:rPr>
        <w:t>• 2.4. Zależność od zasobów, zmiana strukturalna i dywersyfikacja eksportu</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267F8C">
        <w:rPr>
          <w:rFonts w:ascii="Times New Roman" w:hAnsi="Times New Roman" w:cs="Times New Roman"/>
        </w:rPr>
        <w:t xml:space="preserve">Debata dotycząca </w:t>
      </w:r>
      <w:r w:rsidR="0007422F">
        <w:rPr>
          <w:rFonts w:ascii="Times New Roman" w:hAnsi="Times New Roman" w:cs="Times New Roman"/>
        </w:rPr>
        <w:t>K</w:t>
      </w:r>
      <w:r w:rsidRPr="00267F8C">
        <w:rPr>
          <w:rFonts w:ascii="Times New Roman" w:hAnsi="Times New Roman" w:cs="Times New Roman"/>
        </w:rPr>
        <w:t xml:space="preserve">lątwy </w:t>
      </w:r>
      <w:r w:rsidR="0007422F">
        <w:rPr>
          <w:rFonts w:ascii="Times New Roman" w:hAnsi="Times New Roman" w:cs="Times New Roman"/>
        </w:rPr>
        <w:t>S</w:t>
      </w:r>
      <w:r w:rsidRPr="00267F8C">
        <w:rPr>
          <w:rFonts w:ascii="Times New Roman" w:hAnsi="Times New Roman" w:cs="Times New Roman"/>
        </w:rPr>
        <w:t>urowcowej („zasoby naturalne a wzrost”) w sekcji 2.2 stanowi centralny element rozprawy, jednak nie została wyraźnie uwzględniona w zapowiedzi rozdziału 2, w przeciwieństwie do ogólnego wprowadzenia, gdzie jest ujęta łącznie z „przeglądem podstawowych teorii wzrostu gospodarczego”. Ponadto plan wymienia transformację strukturalną i dywersyfikację przed postępem technologicznym, podczas gdy w tekście rozdziału kolejność jest odwrotna (2.3, następnie 2.4).</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267F8C">
        <w:rPr>
          <w:rFonts w:ascii="Times New Roman" w:hAnsi="Times New Roman" w:cs="Times New Roman"/>
        </w:rPr>
        <w:t>Doprecyzowanie planu rozdziału tak, aby jasno odzwierciedlał cztery główne wątki (oraz ich kolejność), bądź wyraźne wskazanie, że punkt (1) obejmuje zarówno ogólną teorię wzrostu, jak i debatę NR–wzrost, zwiększyłoby spójność zapowiedzi z rzeczywistą strukturą oraz ograniczyło potencjalne trudności interpretacyjne dla czytelnika.</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267F8C">
        <w:rPr>
          <w:rFonts w:ascii="Times New Roman" w:hAnsi="Times New Roman" w:cs="Times New Roman"/>
        </w:rPr>
        <w:t>---</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6. Nieścisłe przedstawienie stanowiska Ricarda dotyczącego stanu stacjonarnego</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Cytat</w:t>
      </w:r>
      <w:r w:rsidRPr="00267F8C">
        <w:rPr>
          <w:rFonts w:ascii="Times New Roman" w:hAnsi="Times New Roman" w:cs="Times New Roman"/>
        </w:rPr>
        <w:t xml:space="preserve">: &gt; Wreszcie, </w:t>
      </w:r>
      <w:proofErr w:type="spellStart"/>
      <w:r w:rsidRPr="00267F8C">
        <w:rPr>
          <w:rFonts w:ascii="Times New Roman" w:hAnsi="Times New Roman" w:cs="Times New Roman"/>
        </w:rPr>
        <w:t>ricardiański</w:t>
      </w:r>
      <w:proofErr w:type="spellEnd"/>
      <w:r w:rsidRPr="00267F8C">
        <w:rPr>
          <w:rFonts w:ascii="Times New Roman" w:hAnsi="Times New Roman" w:cs="Times New Roman"/>
        </w:rPr>
        <w:t xml:space="preserve"> model wzrostu gospodarczego, łączący wszystkie wyżej wymienione teorie, opiera się na założeniach trzech czynników produkcji, teorii wartości opartej na pracy, prawie malejących przychodów w rolnictwie, </w:t>
      </w:r>
      <w:proofErr w:type="spellStart"/>
      <w:r w:rsidRPr="00267F8C">
        <w:rPr>
          <w:rFonts w:ascii="Times New Roman" w:hAnsi="Times New Roman" w:cs="Times New Roman"/>
        </w:rPr>
        <w:t>maltuzjańskim</w:t>
      </w:r>
      <w:proofErr w:type="spellEnd"/>
      <w:r w:rsidRPr="00267F8C">
        <w:rPr>
          <w:rFonts w:ascii="Times New Roman" w:hAnsi="Times New Roman" w:cs="Times New Roman"/>
        </w:rPr>
        <w:t xml:space="preserve"> wzroście populacji oraz doskonałej konkurencji. Zgodnie z tym modelem wzrost gospodarczy zachodzi poprzez akumulację kapitału, która dokonuje się dzięki inwestycjom nadzorowanym przez kapitalistów. ... Ricardo zaproponował kilka rozwiązań problemu </w:t>
      </w:r>
      <w:r w:rsidR="0007422F">
        <w:rPr>
          <w:rFonts w:ascii="Times New Roman" w:hAnsi="Times New Roman" w:cs="Times New Roman"/>
        </w:rPr>
        <w:t>S</w:t>
      </w:r>
      <w:r w:rsidRPr="00267F8C">
        <w:rPr>
          <w:rFonts w:ascii="Times New Roman" w:hAnsi="Times New Roman" w:cs="Times New Roman"/>
        </w:rPr>
        <w:t xml:space="preserve">tanu </w:t>
      </w:r>
      <w:r w:rsidR="0007422F">
        <w:rPr>
          <w:rFonts w:ascii="Times New Roman" w:hAnsi="Times New Roman" w:cs="Times New Roman"/>
        </w:rPr>
        <w:t>S</w:t>
      </w:r>
      <w:r w:rsidRPr="00267F8C">
        <w:rPr>
          <w:rFonts w:ascii="Times New Roman" w:hAnsi="Times New Roman" w:cs="Times New Roman"/>
        </w:rPr>
        <w:t xml:space="preserve">tacjonarnego, w tym inicjowanie handlu międzynarodowego, uchylenie ustaw korzystnych wyłącznie dla właścicieli ziemskich oraz </w:t>
      </w:r>
      <w:r w:rsidRPr="0007422F">
        <w:rPr>
          <w:rFonts w:ascii="Times New Roman" w:hAnsi="Times New Roman" w:cs="Times New Roman"/>
          <w:i/>
        </w:rPr>
        <w:t>ochronę cen dóbr</w:t>
      </w:r>
      <w:r w:rsidRPr="00267F8C">
        <w:rPr>
          <w:rFonts w:ascii="Times New Roman" w:hAnsi="Times New Roman" w:cs="Times New Roman"/>
        </w:rPr>
        <w:t xml:space="preserve"> (</w:t>
      </w:r>
      <w:proofErr w:type="spellStart"/>
      <w:r w:rsidRPr="00267F8C">
        <w:rPr>
          <w:rFonts w:ascii="Times New Roman" w:hAnsi="Times New Roman" w:cs="Times New Roman"/>
        </w:rPr>
        <w:t>Eltis</w:t>
      </w:r>
      <w:proofErr w:type="spellEnd"/>
      <w:r w:rsidRPr="00267F8C">
        <w:rPr>
          <w:rFonts w:ascii="Times New Roman" w:hAnsi="Times New Roman" w:cs="Times New Roman"/>
        </w:rPr>
        <w:t>, 1984).</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Uwagi</w:t>
      </w:r>
      <w:r w:rsidRPr="00267F8C">
        <w:rPr>
          <w:rFonts w:ascii="Times New Roman" w:hAnsi="Times New Roman" w:cs="Times New Roman"/>
        </w:rPr>
        <w:t xml:space="preserve">: W opisie modelu </w:t>
      </w:r>
      <w:proofErr w:type="spellStart"/>
      <w:r w:rsidRPr="00267F8C">
        <w:rPr>
          <w:rFonts w:ascii="Times New Roman" w:hAnsi="Times New Roman" w:cs="Times New Roman"/>
        </w:rPr>
        <w:t>ricardiańskiego</w:t>
      </w:r>
      <w:proofErr w:type="spellEnd"/>
      <w:r w:rsidRPr="00267F8C">
        <w:rPr>
          <w:rFonts w:ascii="Times New Roman" w:hAnsi="Times New Roman" w:cs="Times New Roman"/>
        </w:rPr>
        <w:t xml:space="preserve"> pojawia się sprzeczność dotycząca proponowanych przez Ricarda rozwiązań problemu </w:t>
      </w:r>
      <w:r w:rsidR="0007422F">
        <w:rPr>
          <w:rFonts w:ascii="Times New Roman" w:hAnsi="Times New Roman" w:cs="Times New Roman"/>
        </w:rPr>
        <w:t>S</w:t>
      </w:r>
      <w:r w:rsidRPr="00267F8C">
        <w:rPr>
          <w:rFonts w:ascii="Times New Roman" w:hAnsi="Times New Roman" w:cs="Times New Roman"/>
        </w:rPr>
        <w:t xml:space="preserve">tanu </w:t>
      </w:r>
      <w:r w:rsidR="0007422F">
        <w:rPr>
          <w:rFonts w:ascii="Times New Roman" w:hAnsi="Times New Roman" w:cs="Times New Roman"/>
        </w:rPr>
        <w:t>S</w:t>
      </w:r>
      <w:r w:rsidRPr="00267F8C">
        <w:rPr>
          <w:rFonts w:ascii="Times New Roman" w:hAnsi="Times New Roman" w:cs="Times New Roman"/>
        </w:rPr>
        <w:t xml:space="preserve">tacjonarnego. Tekst wskazuje zarówno na „uchylenie ustaw korzystnych wyłącznie dla właścicieli ziemskich”, jak i na „ochronę cen dóbr”. Powszechnie znane stanowisko Ricarda w debacie nad </w:t>
      </w:r>
      <w:r w:rsidR="0007422F">
        <w:rPr>
          <w:rFonts w:ascii="Times New Roman" w:hAnsi="Times New Roman" w:cs="Times New Roman"/>
        </w:rPr>
        <w:t>U</w:t>
      </w:r>
      <w:r w:rsidRPr="00267F8C">
        <w:rPr>
          <w:rFonts w:ascii="Times New Roman" w:hAnsi="Times New Roman" w:cs="Times New Roman"/>
        </w:rPr>
        <w:t xml:space="preserve">stawami </w:t>
      </w:r>
      <w:r w:rsidR="0007422F">
        <w:rPr>
          <w:rFonts w:ascii="Times New Roman" w:hAnsi="Times New Roman" w:cs="Times New Roman"/>
        </w:rPr>
        <w:t>Z</w:t>
      </w:r>
      <w:r w:rsidRPr="00267F8C">
        <w:rPr>
          <w:rFonts w:ascii="Times New Roman" w:hAnsi="Times New Roman" w:cs="Times New Roman"/>
        </w:rPr>
        <w:t>bożowymi polegało na popieraniu wolnego handlu oraz zniesienia ceł utrzymujących sztucznie wysokie ceny zbóż, właśnie w celu obniżenia kosztów dóbr płacowych i utrzymania poziomu zysków. W obecnym brzmieniu zdanie sugeruje, że Ricardo jednocześnie opowiadał się za zniesieniem protekcjonizmu i ochroną cen dóbr, co stanowi sprzeczność. Takie sformułowanie błędnie oddaje jego stanowisko i wymaga doprecyzowania lub korekty.</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267F8C">
        <w:rPr>
          <w:rFonts w:ascii="Times New Roman" w:hAnsi="Times New Roman" w:cs="Times New Roman"/>
        </w:rPr>
        <w:t>---</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 xml:space="preserve">7. Nieprawidłowe przedstawienie równania akumulacji kapitału w modelu </w:t>
      </w:r>
      <w:proofErr w:type="spellStart"/>
      <w:r w:rsidRPr="0007422F">
        <w:rPr>
          <w:rFonts w:ascii="Times New Roman" w:hAnsi="Times New Roman" w:cs="Times New Roman"/>
          <w:b/>
        </w:rPr>
        <w:t>Solowa-Swana</w:t>
      </w:r>
      <w:proofErr w:type="spellEnd"/>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lastRenderedPageBreak/>
        <w:t>Cytat</w:t>
      </w:r>
      <w:r w:rsidRPr="00267F8C">
        <w:rPr>
          <w:rFonts w:ascii="Times New Roman" w:hAnsi="Times New Roman" w:cs="Times New Roman"/>
        </w:rPr>
        <w:t>: &gt; Z drugiej strony, równanie akumulacji kapitału opisuje, w jaki sposób kapitał akumuluje się w czasie. Zgodnie z tym równaniem zmiana zasobu kapitału jest równa sumie inwestycji faktycznych oraz inwestycji równoważących. Inwestycje równoważące odnoszą się do dwóch kwestii: po pierwsze, ponieważ kapitał ulega deprecjacji, musi być odtwarzany, aby zapobiec spadkowi jego zasobu; po drugie, ponieważ rośnie ilość efektywnej pracy, zasób kapitału musi rosnąć, aby pozostać na stałym poziomie (Romer, 2010).</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Uwagi</w:t>
      </w:r>
      <w:r w:rsidRPr="00267F8C">
        <w:rPr>
          <w:rFonts w:ascii="Times New Roman" w:hAnsi="Times New Roman" w:cs="Times New Roman"/>
        </w:rPr>
        <w:t xml:space="preserve">: Opis równania akumulacji kapitału w modelu </w:t>
      </w:r>
      <w:proofErr w:type="spellStart"/>
      <w:r w:rsidRPr="00267F8C">
        <w:rPr>
          <w:rFonts w:ascii="Times New Roman" w:hAnsi="Times New Roman" w:cs="Times New Roman"/>
        </w:rPr>
        <w:t>Solowa-Swana</w:t>
      </w:r>
      <w:proofErr w:type="spellEnd"/>
      <w:r w:rsidRPr="00267F8C">
        <w:rPr>
          <w:rFonts w:ascii="Times New Roman" w:hAnsi="Times New Roman" w:cs="Times New Roman"/>
        </w:rPr>
        <w:t xml:space="preserve"> jest mylący. Tekst stwierdza, że „zmiana zasobu kapitału jest równa sumie inwestycji faktycznych oraz inwestycji równoważących”. W standardowym ujęciu, zarówno w odniesieniu do kapitału na efektywnego pracownika, jak i w ujęciu zagregowanym, zmiana kapitału jest determinowana przez inwestycje faktyczne pomniejszone o inwestycje równoważące (czyli nakłady konieczne do pokrycia deprecjacji oraz wyposażenia nowych jednostek efektywnej pracy). Wskazane byłoby skorygowanie znaku w tym równaniu oraz ewentualne doprecyzowanie, że analiza dotyczy kapitału na efektywnego pracownika, a nie zagregowanego zasobu kapitału.</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267F8C">
        <w:rPr>
          <w:rFonts w:ascii="Times New Roman" w:hAnsi="Times New Roman" w:cs="Times New Roman"/>
        </w:rPr>
        <w:t>---</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8. Mieszanie własności funkcji produkcji z założeniami modelu</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Cytat</w:t>
      </w:r>
      <w:r w:rsidRPr="00267F8C">
        <w:rPr>
          <w:rFonts w:ascii="Times New Roman" w:hAnsi="Times New Roman" w:cs="Times New Roman"/>
        </w:rPr>
        <w:t>: &gt; Kluczowe założenia dotyczące funkcji produkcji są takie, że charakteryzuje się ona stałymi przychodami skali, malejącymi przychodami krańcowymi wszystkich czynników, egzogeniczną stopą wzrostu populacji i postępu technologicznego oraz że definiuje wszystkie zmienne w każdym momencie czasu.</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07422F">
        <w:rPr>
          <w:rFonts w:ascii="Times New Roman" w:hAnsi="Times New Roman" w:cs="Times New Roman"/>
          <w:b/>
        </w:rPr>
        <w:t>Uwagi</w:t>
      </w:r>
      <w:r w:rsidRPr="00267F8C">
        <w:rPr>
          <w:rFonts w:ascii="Times New Roman" w:hAnsi="Times New Roman" w:cs="Times New Roman"/>
        </w:rPr>
        <w:t xml:space="preserve">: Sformułowanie „kluczowe założenia dotyczące funkcji produkcji” może sugerować, że egzogeniczne tempo wzrostu populacji i technologii jest traktowane jako własność samej funkcji </w:t>
      </w:r>
      <w:r w:rsidRPr="00890B79">
        <w:rPr>
          <w:rFonts w:ascii="Times New Roman" w:hAnsi="Times New Roman" w:cs="Times New Roman"/>
          <w:i/>
        </w:rPr>
        <w:t>F(K, AL),</w:t>
      </w:r>
      <w:r w:rsidRPr="00267F8C">
        <w:rPr>
          <w:rFonts w:ascii="Times New Roman" w:hAnsi="Times New Roman" w:cs="Times New Roman"/>
        </w:rPr>
        <w:t xml:space="preserve"> obok stałych przychodów skali i malejących produktów krańcowych. W rzeczywistości lista ta stanowi podsumowanie założeń technologicznych modelu </w:t>
      </w:r>
      <w:proofErr w:type="spellStart"/>
      <w:r w:rsidRPr="00267F8C">
        <w:rPr>
          <w:rFonts w:ascii="Times New Roman" w:hAnsi="Times New Roman" w:cs="Times New Roman"/>
        </w:rPr>
        <w:t>Solowa-Swana</w:t>
      </w:r>
      <w:proofErr w:type="spellEnd"/>
      <w:r w:rsidRPr="00267F8C">
        <w:rPr>
          <w:rFonts w:ascii="Times New Roman" w:hAnsi="Times New Roman" w:cs="Times New Roman"/>
        </w:rPr>
        <w:t xml:space="preserve">, łącząc własności funkcji produkcji z równaniami dynamiki dla </w:t>
      </w:r>
      <w:r w:rsidRPr="00890B79">
        <w:rPr>
          <w:rFonts w:ascii="Times New Roman" w:hAnsi="Times New Roman" w:cs="Times New Roman"/>
          <w:i/>
        </w:rPr>
        <w:t>L</w:t>
      </w:r>
      <w:r w:rsidRPr="00267F8C">
        <w:rPr>
          <w:rFonts w:ascii="Times New Roman" w:hAnsi="Times New Roman" w:cs="Times New Roman"/>
        </w:rPr>
        <w:t xml:space="preserve"> i </w:t>
      </w:r>
      <w:r w:rsidRPr="00890B79">
        <w:rPr>
          <w:rFonts w:ascii="Times New Roman" w:hAnsi="Times New Roman" w:cs="Times New Roman"/>
          <w:i/>
        </w:rPr>
        <w:t>A</w:t>
      </w:r>
      <w:r w:rsidRPr="00267F8C">
        <w:rPr>
          <w:rFonts w:ascii="Times New Roman" w:hAnsi="Times New Roman" w:cs="Times New Roman"/>
        </w:rPr>
        <w:t>. Dla większej precyzji warto wyraźnie rozróżnić założenia dotyczące funkcji produkcji (CRS, malejące przychody krańcowe) oraz założenia dotyczące egzogenicznego wzrostu pracy i technologii.</w:t>
      </w:r>
    </w:p>
    <w:p w:rsidR="003A56FC" w:rsidRPr="00267F8C" w:rsidRDefault="003A56FC" w:rsidP="003A56FC">
      <w:pPr>
        <w:rPr>
          <w:rFonts w:ascii="Times New Roman" w:hAnsi="Times New Roman" w:cs="Times New Roman"/>
        </w:rPr>
      </w:pPr>
    </w:p>
    <w:p w:rsidR="003A56FC" w:rsidRPr="00267F8C" w:rsidRDefault="003A56FC" w:rsidP="003A56FC">
      <w:pPr>
        <w:rPr>
          <w:rFonts w:ascii="Times New Roman" w:hAnsi="Times New Roman" w:cs="Times New Roman"/>
        </w:rPr>
      </w:pPr>
      <w:r w:rsidRPr="00267F8C">
        <w:rPr>
          <w:rFonts w:ascii="Times New Roman" w:hAnsi="Times New Roman" w:cs="Times New Roman"/>
        </w:rPr>
        <w:t>---</w:t>
      </w:r>
    </w:p>
    <w:p w:rsidR="00032E0D" w:rsidRPr="00267F8C" w:rsidRDefault="00032E0D" w:rsidP="00032E0D">
      <w:pPr>
        <w:pStyle w:val="NormalnyWeb"/>
      </w:pPr>
      <w:r w:rsidRPr="00267F8C">
        <w:rPr>
          <w:rStyle w:val="Pogrubienie"/>
        </w:rPr>
        <w:t>9. Niejasna charakterystyka ograniczeń modelu wzrostu Solowa</w:t>
      </w:r>
      <w:r w:rsidRPr="00267F8C">
        <w:br/>
      </w:r>
      <w:r w:rsidRPr="00890B79">
        <w:rPr>
          <w:b/>
        </w:rPr>
        <w:t>Cytat:</w:t>
      </w:r>
      <w:r w:rsidRPr="00267F8C">
        <w:t xml:space="preserve"> &gt; Jednak model nie identyfikuje determinant postępu technologicznego, ponieważ traktuje akumulację wiedzy jako czynnik egzogeniczny. Tym samym model </w:t>
      </w:r>
      <w:proofErr w:type="spellStart"/>
      <w:r w:rsidRPr="00267F8C">
        <w:t>Solowa-Swana</w:t>
      </w:r>
      <w:proofErr w:type="spellEnd"/>
      <w:r w:rsidRPr="00267F8C">
        <w:t xml:space="preserve"> nie posiada przesłanek długookresowego wzrostu, ponieważ nie charakteryzuje jedynego potencjalnego akceleratora długookresowego wzrostu, jakim jest postęp technologiczny (Romer, 2010; </w:t>
      </w:r>
      <w:proofErr w:type="spellStart"/>
      <w:r w:rsidRPr="00267F8C">
        <w:t>Campante</w:t>
      </w:r>
      <w:proofErr w:type="spellEnd"/>
      <w:r w:rsidRPr="00267F8C">
        <w:t xml:space="preserve"> et al., 2021).</w:t>
      </w:r>
    </w:p>
    <w:p w:rsidR="00032E0D" w:rsidRDefault="00032E0D" w:rsidP="00032E0D">
      <w:pPr>
        <w:pStyle w:val="NormalnyWeb"/>
      </w:pPr>
      <w:r w:rsidRPr="00890B79">
        <w:rPr>
          <w:b/>
        </w:rPr>
        <w:t>Uwagi</w:t>
      </w:r>
      <w:r w:rsidRPr="00267F8C">
        <w:t xml:space="preserve">: Ostatnie zdanie tego akapitu wydaje się zbyt mocno eksponować ograniczenie modelu </w:t>
      </w:r>
      <w:proofErr w:type="spellStart"/>
      <w:r w:rsidRPr="00267F8C">
        <w:t>Solowa-Swana</w:t>
      </w:r>
      <w:proofErr w:type="spellEnd"/>
      <w:r w:rsidRPr="00267F8C">
        <w:t xml:space="preserve">. Bezpośrednio wcześniej trafnie zauważono, że na ścieżce zrównoważonego wzrostu wszystkie zmienne rosną w stałych tempach, a wzrost produkcji jest determinowany przez egzogeniczne tempo postępu technologicznego. Stwierdzenie zaraz potem, że model „nie posiada przesłanek długookresowego wzrostu”, może sprawiać wrażenie, jakby model w ogóle nie był zdolny do generowania trwałego wzrostu, co pozostaje w sprzeczności z poprzednim zdaniem. Wydaje się, że zamierzony sens dotyczy raczej tego, iż model Solowa nie </w:t>
      </w:r>
      <w:r w:rsidRPr="00890B79">
        <w:rPr>
          <w:i/>
        </w:rPr>
        <w:t>wyjaśnia</w:t>
      </w:r>
      <w:r w:rsidRPr="00267F8C">
        <w:t xml:space="preserve"> ani nie </w:t>
      </w:r>
      <w:proofErr w:type="spellStart"/>
      <w:r w:rsidRPr="00267F8C">
        <w:t>endogenizuje</w:t>
      </w:r>
      <w:proofErr w:type="spellEnd"/>
      <w:r w:rsidRPr="00267F8C">
        <w:t xml:space="preserve"> determinant wzrostu długookresowego, </w:t>
      </w:r>
      <w:r w:rsidRPr="00267F8C">
        <w:lastRenderedPageBreak/>
        <w:t>ponieważ postęp technologiczny jest w nim traktowany jako egzogeniczny. Pomocne byłoby więc przeformułowanie tego fragmentu tak, aby akcentował brak endogenicznego mechanizmu wyznaczającego g, a nie brak przesłanek długookresowego wzrostu jako takiego.</w:t>
      </w:r>
    </w:p>
    <w:p w:rsidR="00890B79" w:rsidRPr="00267F8C" w:rsidRDefault="00890B79" w:rsidP="00032E0D">
      <w:pPr>
        <w:pStyle w:val="NormalnyWeb"/>
      </w:pPr>
      <w:r>
        <w:t>---</w:t>
      </w:r>
    </w:p>
    <w:p w:rsidR="00032E0D" w:rsidRPr="00267F8C" w:rsidRDefault="00032E0D" w:rsidP="00032E0D">
      <w:pPr>
        <w:pStyle w:val="NormalnyWeb"/>
      </w:pPr>
      <w:r w:rsidRPr="00267F8C">
        <w:rPr>
          <w:rStyle w:val="Pogrubienie"/>
        </w:rPr>
        <w:t>10. Koncepcyjne pomieszanie w opisie teorii wzrostu endogenicznego (sekcja 2.1)</w:t>
      </w:r>
      <w:r w:rsidRPr="00267F8C">
        <w:br/>
      </w:r>
      <w:r w:rsidRPr="00890B79">
        <w:rPr>
          <w:b/>
        </w:rPr>
        <w:t>Cytat</w:t>
      </w:r>
      <w:r w:rsidRPr="00267F8C">
        <w:t>: &gt; Ponadto teoria wzrostu endogenicznego podkreśla znaczenie gospodarki opartej na wiedzy oraz fakt, że inwestycje w nowe technologie i kapitał ludzki prowadzą do wzrostu, takiego jak stałe przychody skali oraz efekt rozlewania się wiedzy (</w:t>
      </w:r>
      <w:proofErr w:type="spellStart"/>
      <w:r w:rsidRPr="00267F8C">
        <w:t>Helpman</w:t>
      </w:r>
      <w:proofErr w:type="spellEnd"/>
      <w:r w:rsidRPr="00267F8C">
        <w:t>, 2004).</w:t>
      </w:r>
    </w:p>
    <w:p w:rsidR="00032E0D" w:rsidRDefault="00032E0D" w:rsidP="00032E0D">
      <w:pPr>
        <w:pStyle w:val="NormalnyWeb"/>
      </w:pPr>
      <w:r w:rsidRPr="00890B79">
        <w:rPr>
          <w:b/>
        </w:rPr>
        <w:t>Uwagi</w:t>
      </w:r>
      <w:r w:rsidRPr="00267F8C">
        <w:t xml:space="preserve">: Zdanie „inwestycje w nowe technologie i kapitał ludzki prowadzą do wzrostu, takiego jak stałe przychody skali oraz efekt rozlewania się wiedzy” może prowadzić do pomieszania odrębnych elementów modeli wzrostu endogenicznego. W obecnym brzmieniu klauzula „takiego jak” sugeruje, że stałe przychody skali i efekty </w:t>
      </w:r>
      <w:proofErr w:type="spellStart"/>
      <w:r w:rsidRPr="00267F8C">
        <w:t>spillover</w:t>
      </w:r>
      <w:proofErr w:type="spellEnd"/>
      <w:r w:rsidRPr="00267F8C">
        <w:t xml:space="preserve"> są przykładami „wzrostu”, podczas gdy w standardowej teorii są one raczej właściwościami strukturalnymi i efektami zewnętrznymi, które umożliwiają, aby inwestycje w technologię i kapitał ludzki podtrzymywały wzrost długookresowy. Warto byłoby przeformułować ten fragment tak, aby wyraźnie odróżnić: (i) źródła wzrostu (inwestycje w B+R i kapitał ludzki), (ii) cechy modelu zapobiegające malejącym przychodom i generujące wzrost endogeniczny (np. stałe przychody względem czynników </w:t>
      </w:r>
      <w:proofErr w:type="spellStart"/>
      <w:r w:rsidRPr="00267F8C">
        <w:t>akumulowalnych</w:t>
      </w:r>
      <w:proofErr w:type="spellEnd"/>
      <w:r w:rsidRPr="00267F8C">
        <w:t xml:space="preserve">, </w:t>
      </w:r>
      <w:proofErr w:type="spellStart"/>
      <w:r w:rsidRPr="00267F8C">
        <w:t>spillowery</w:t>
      </w:r>
      <w:proofErr w:type="spellEnd"/>
      <w:r w:rsidRPr="00267F8C">
        <w:t xml:space="preserve"> wiedzy) oraz (iii) rezultat, czyli trwały wzrost gospodarczy.</w:t>
      </w:r>
    </w:p>
    <w:p w:rsidR="00890B79" w:rsidRPr="00267F8C" w:rsidRDefault="00890B79" w:rsidP="00032E0D">
      <w:pPr>
        <w:pStyle w:val="NormalnyWeb"/>
      </w:pPr>
      <w:r>
        <w:t>---</w:t>
      </w:r>
    </w:p>
    <w:p w:rsidR="00032E0D" w:rsidRPr="00267F8C" w:rsidRDefault="00032E0D" w:rsidP="00032E0D">
      <w:pPr>
        <w:pStyle w:val="NormalnyWeb"/>
      </w:pPr>
      <w:r w:rsidRPr="00267F8C">
        <w:rPr>
          <w:rStyle w:val="Pogrubienie"/>
        </w:rPr>
        <w:t>11. Precyzja w rozróżnieniu między „założeniem” a „predykcją” w krytyce modelu Romera</w:t>
      </w:r>
      <w:r w:rsidRPr="00267F8C">
        <w:br/>
      </w:r>
      <w:r w:rsidRPr="00890B79">
        <w:rPr>
          <w:b/>
        </w:rPr>
        <w:t>Cytat:</w:t>
      </w:r>
      <w:r w:rsidRPr="00267F8C">
        <w:t xml:space="preserve"> &gt; Jones (1995a, 1995b) wskazuje, że mimo wzrostu liczby osób zaangażowanych w działalność B+R, dane dla Stanów Zjednoczonych nie dostarczają dowodów na występowanie trendu wzrostowego TFP ani produkcji na pracownika. Pozostaje to w sprzeczności z założeniem efektu skali w modelu Romera.</w:t>
      </w:r>
    </w:p>
    <w:p w:rsidR="00032E0D" w:rsidRDefault="00032E0D" w:rsidP="00032E0D">
      <w:pPr>
        <w:pStyle w:val="NormalnyWeb"/>
      </w:pPr>
      <w:r w:rsidRPr="00890B79">
        <w:rPr>
          <w:b/>
        </w:rPr>
        <w:t>Uwagi:</w:t>
      </w:r>
      <w:r w:rsidRPr="00267F8C">
        <w:t xml:space="preserve"> Początkowo sformułowanie „pozostaje to w sprzeczności z założeniem efektu skali w modelu Romera” może sugerować, że efekt skali traktowany jest jako pierwotne założenie, podczas gdy w poprzednim zdaniu został on trafnie opisany jako predykcja modelu. Dopiero z kontekstu wynika, że termin „założenie” jest tu użyty potocznie w odniesieniu do zespołu przesłanek prowadzących do efektu skali. Aby uniknąć wrażenia pomieszania założeń z implikacjami modelu, pomocne byłoby konsekwentne użycie tego samego terminu (np. „predykcja”, „implikacja” lub „właściwość”) w obu zdaniach przy odnoszeniu się do efektów skali.</w:t>
      </w:r>
    </w:p>
    <w:p w:rsidR="00890B79" w:rsidRPr="00267F8C" w:rsidRDefault="00890B79" w:rsidP="00032E0D">
      <w:pPr>
        <w:pStyle w:val="NormalnyWeb"/>
      </w:pPr>
      <w:r>
        <w:t>---</w:t>
      </w:r>
    </w:p>
    <w:p w:rsidR="00032E0D" w:rsidRPr="00267F8C" w:rsidRDefault="00032E0D" w:rsidP="00032E0D">
      <w:pPr>
        <w:pStyle w:val="NormalnyWeb"/>
      </w:pPr>
      <w:r w:rsidRPr="00267F8C">
        <w:rPr>
          <w:rStyle w:val="Pogrubienie"/>
        </w:rPr>
        <w:t>12. Nieścisła charakterystyka modelu Jonesa (1995a) w sekcji 2.1</w:t>
      </w:r>
      <w:r w:rsidRPr="00267F8C">
        <w:br/>
      </w:r>
      <w:r w:rsidRPr="00890B79">
        <w:rPr>
          <w:b/>
        </w:rPr>
        <w:t>Cytat:</w:t>
      </w:r>
      <w:r w:rsidRPr="00267F8C">
        <w:t xml:space="preserve"> &gt; Ponadto argument dotyczący wzrostu napędzanego populacją można łatwo podważyć, ponieważ duże kraje niekoniecznie rosną szybciej, a liczba ludności w większości krajów pozostawała ostatnio stała. Na podstawie tych obserwacji Jones (1995a) zaproponował </w:t>
      </w:r>
      <w:proofErr w:type="spellStart"/>
      <w:r w:rsidRPr="00267F8C">
        <w:t>półendogeniczny</w:t>
      </w:r>
      <w:proofErr w:type="spellEnd"/>
      <w:r w:rsidRPr="00267F8C">
        <w:t xml:space="preserve"> model wzrostu oparty na działalności B+R. W tym modelu wzrost gospodarczy jest determinowany wyłącznie przez wzrost populacji (czynnik egzogeniczny) </w:t>
      </w:r>
      <w:r w:rsidRPr="00267F8C">
        <w:lastRenderedPageBreak/>
        <w:t>oraz technologię (czynnik endogeniczny). Nie reaguje on na interwencje rządowe (</w:t>
      </w:r>
      <w:proofErr w:type="spellStart"/>
      <w:r w:rsidRPr="00267F8C">
        <w:t>Acemoglu</w:t>
      </w:r>
      <w:proofErr w:type="spellEnd"/>
      <w:r w:rsidRPr="00267F8C">
        <w:t>, 2009).</w:t>
      </w:r>
    </w:p>
    <w:p w:rsidR="00032E0D" w:rsidRPr="00267F8C" w:rsidRDefault="00032E0D" w:rsidP="00032E0D">
      <w:pPr>
        <w:pStyle w:val="NormalnyWeb"/>
      </w:pPr>
      <w:r w:rsidRPr="00890B79">
        <w:rPr>
          <w:b/>
        </w:rPr>
        <w:t>Uwagi</w:t>
      </w:r>
      <w:r w:rsidRPr="00267F8C">
        <w:t>: Akapit podsumowujący przejście od modelu Romera (1990) do modelu Jonesa (1995a) można doprecyzować w dwóch aspektach.</w:t>
      </w:r>
    </w:p>
    <w:p w:rsidR="00032E0D" w:rsidRPr="00267F8C" w:rsidRDefault="00032E0D" w:rsidP="00032E0D">
      <w:pPr>
        <w:pStyle w:val="NormalnyWeb"/>
      </w:pPr>
      <w:r w:rsidRPr="00267F8C">
        <w:t>Po pierwsze, zdanie „argument dotyczący wzrostu napędzanego populacją można łatwo podważyć, ponieważ duże kraje niekoniecznie rosną szybciej, a liczba ludności w większości krajów pozostawała ostatnio stała” jest potencjalnie mylące. Przedstawia krytykę głównie jako problem efektu wielkości między krajami oraz stwierdza niemal stałość populacji w „większości krajów”, co empirycznie jest wątpliwe. W pracy Jonesa centralnym problemem empirycznym jest brak trendu wzrostowego TFP mimo znacznego wzrostu zatrudnienia w B+R w czasie, a ten wymiar szeregów czasowych został już zasygnalizowany w poprzednim zdaniu.</w:t>
      </w:r>
    </w:p>
    <w:p w:rsidR="00032E0D" w:rsidRDefault="00032E0D" w:rsidP="00032E0D">
      <w:pPr>
        <w:pStyle w:val="NormalnyWeb"/>
      </w:pPr>
      <w:r w:rsidRPr="00267F8C">
        <w:t xml:space="preserve">Po drugie, stwierdzenie, że w </w:t>
      </w:r>
      <w:proofErr w:type="spellStart"/>
      <w:r w:rsidRPr="00267F8C">
        <w:t>półendogenicznym</w:t>
      </w:r>
      <w:proofErr w:type="spellEnd"/>
      <w:r w:rsidRPr="00267F8C">
        <w:t xml:space="preserve"> modelu Jonesa „wzrost gospodarczy jest determinowany wyłącznie przez wzrost populacji (czynnik egzogeniczny) oraz technologię (czynnik endogeniczny)”, jest zbyt ogólne. Nie wyjaśnia ono, że cechą definiującą tego podejścia jest to, iż długookresowa stopa wzrostu per capita jest wyznaczana przez egzogeniczne tempo wzrostu populacji (lub zatrudnienia w B+R), podczas gdy polityka wpływa jedynie na poziom dochodu lub technologii. Ponieważ sekcja ta po raz pierwszy wprowadza ten model, bardziej precyzyjne ujęcie tego mechanizmu oraz lepsze jego powiązanie z opisem przedstawionym później w </w:t>
      </w:r>
      <w:r w:rsidR="00890B79">
        <w:t>S</w:t>
      </w:r>
      <w:r w:rsidRPr="00267F8C">
        <w:t>ekcji 2.3 pomogłoby uniknąć niejasności co do tego, co oznacza termin „</w:t>
      </w:r>
      <w:proofErr w:type="spellStart"/>
      <w:r w:rsidRPr="00267F8C">
        <w:t>półendogeniczny</w:t>
      </w:r>
      <w:proofErr w:type="spellEnd"/>
      <w:r w:rsidRPr="00267F8C">
        <w:t>”.</w:t>
      </w:r>
    </w:p>
    <w:p w:rsidR="00890B79" w:rsidRPr="00267F8C" w:rsidRDefault="00890B79" w:rsidP="00032E0D">
      <w:pPr>
        <w:pStyle w:val="NormalnyWeb"/>
      </w:pPr>
      <w:r>
        <w:t>---</w:t>
      </w:r>
    </w:p>
    <w:p w:rsidR="00032E0D" w:rsidRPr="00267F8C" w:rsidRDefault="00032E0D" w:rsidP="00032E0D">
      <w:pPr>
        <w:pStyle w:val="NormalnyWeb"/>
      </w:pPr>
      <w:r w:rsidRPr="00267F8C">
        <w:rPr>
          <w:rStyle w:val="Pogrubienie"/>
        </w:rPr>
        <w:t xml:space="preserve">13. Pozorna sprzeczność dotycząca charakteru innowacji </w:t>
      </w:r>
      <w:proofErr w:type="spellStart"/>
      <w:r w:rsidRPr="00267F8C">
        <w:rPr>
          <w:rStyle w:val="Pogrubienie"/>
        </w:rPr>
        <w:t>schumpeterowskiej</w:t>
      </w:r>
      <w:proofErr w:type="spellEnd"/>
      <w:r w:rsidRPr="00267F8C">
        <w:br/>
      </w:r>
      <w:r w:rsidRPr="00890B79">
        <w:rPr>
          <w:b/>
        </w:rPr>
        <w:t>Cytat</w:t>
      </w:r>
      <w:r w:rsidRPr="00267F8C">
        <w:t>: &gt; Ponadto te działania innowacyjne są a priori uznawane za „zielone” (</w:t>
      </w:r>
      <w:proofErr w:type="spellStart"/>
      <w:r w:rsidRPr="00267F8C">
        <w:t>Aghion</w:t>
      </w:r>
      <w:proofErr w:type="spellEnd"/>
      <w:r w:rsidRPr="00267F8C">
        <w:t xml:space="preserve"> and </w:t>
      </w:r>
      <w:proofErr w:type="spellStart"/>
      <w:r w:rsidRPr="00267F8C">
        <w:t>Howitt</w:t>
      </w:r>
      <w:proofErr w:type="spellEnd"/>
      <w:r w:rsidRPr="00267F8C">
        <w:t xml:space="preserve">, 2009). Innymi słowy, wkład nurtu </w:t>
      </w:r>
      <w:proofErr w:type="spellStart"/>
      <w:r w:rsidRPr="00267F8C">
        <w:t>schumpeterowskiego</w:t>
      </w:r>
      <w:proofErr w:type="spellEnd"/>
      <w:r w:rsidRPr="00267F8C">
        <w:t xml:space="preserve"> nie klasyfikuje innowacji jako technologii „czystych” lub „brudnych”, podczas gdy taki podział dostarcza istotnego wglądu w czynniki wpływające na endogeniczny wzrost technologiczny, zwłaszcza przy uwzględnieniu zasobów naturalnych (</w:t>
      </w:r>
      <w:proofErr w:type="spellStart"/>
      <w:r w:rsidRPr="00267F8C">
        <w:t>Acemoglu</w:t>
      </w:r>
      <w:proofErr w:type="spellEnd"/>
      <w:r w:rsidRPr="00267F8C">
        <w:t xml:space="preserve"> et al., 2012; </w:t>
      </w:r>
      <w:proofErr w:type="spellStart"/>
      <w:r w:rsidRPr="00267F8C">
        <w:t>Smulders</w:t>
      </w:r>
      <w:proofErr w:type="spellEnd"/>
      <w:r w:rsidRPr="00267F8C">
        <w:t xml:space="preserve"> et al., 2014; </w:t>
      </w:r>
      <w:proofErr w:type="spellStart"/>
      <w:r w:rsidRPr="00267F8C">
        <w:t>Witajewski-Baltvilks</w:t>
      </w:r>
      <w:proofErr w:type="spellEnd"/>
      <w:r w:rsidRPr="00267F8C">
        <w:t xml:space="preserve"> and Fischer, 2023).</w:t>
      </w:r>
    </w:p>
    <w:p w:rsidR="00032E0D" w:rsidRPr="00267F8C" w:rsidRDefault="00032E0D" w:rsidP="00032E0D">
      <w:pPr>
        <w:pStyle w:val="NormalnyWeb"/>
      </w:pPr>
      <w:r w:rsidRPr="00890B79">
        <w:rPr>
          <w:b/>
        </w:rPr>
        <w:t>Uwagi</w:t>
      </w:r>
      <w:r w:rsidRPr="00267F8C">
        <w:t xml:space="preserve">: Dwa kolejne zdania dotyczące innowacji </w:t>
      </w:r>
      <w:proofErr w:type="spellStart"/>
      <w:r w:rsidRPr="00267F8C">
        <w:t>schumpeterowskiej</w:t>
      </w:r>
      <w:proofErr w:type="spellEnd"/>
      <w:r w:rsidRPr="00267F8C">
        <w:t xml:space="preserve"> są trudne do pogodzenia w obecnym brzmieniu. Twierdzenie, że „te działania innowacyjne są a priori uznawane za ‘zielone’”, sugeruje, iż innowacja w tym ujęciu jest z założenia </w:t>
      </w:r>
      <w:proofErr w:type="spellStart"/>
      <w:r w:rsidRPr="00267F8C">
        <w:t>zasobooszczędna</w:t>
      </w:r>
      <w:proofErr w:type="spellEnd"/>
      <w:r w:rsidRPr="00267F8C">
        <w:t xml:space="preserve">. Natomiast kolejne zdanie, wprowadzone zwrotem „innymi słowy”, stwierdza, że wkład nurtu </w:t>
      </w:r>
      <w:proofErr w:type="spellStart"/>
      <w:r w:rsidRPr="00267F8C">
        <w:t>schumpeterowskiego</w:t>
      </w:r>
      <w:proofErr w:type="spellEnd"/>
      <w:r w:rsidRPr="00267F8C">
        <w:t xml:space="preserve"> „nie klasyfikuje innowacji jako technologii ‘czystych’ lub ‘brudnych’”, co wskazuje raczej na neutralność względem ich charakterystyki środowiskowej.</w:t>
      </w:r>
    </w:p>
    <w:p w:rsidR="00032E0D" w:rsidRDefault="00032E0D" w:rsidP="00032E0D">
      <w:pPr>
        <w:pStyle w:val="NormalnyWeb"/>
      </w:pPr>
      <w:r w:rsidRPr="00267F8C">
        <w:t xml:space="preserve">W zestawieniu oba zdania — zwłaszcza z użyciem łącznika „innymi słowy” — zdają się równocześnie mówić, że innowacja jest z założenia zielona i że model nie rozróżnia technologii zielonych i brudnych. Warto byłoby doprecyzować, co dokładnie jest tu rozumiane. Można na przykład wskazać, czy w środowiskowej aplikacji modelu </w:t>
      </w:r>
      <w:proofErr w:type="spellStart"/>
      <w:r w:rsidRPr="00267F8C">
        <w:t>schumpeterowskiego</w:t>
      </w:r>
      <w:proofErr w:type="spellEnd"/>
      <w:r w:rsidRPr="00267F8C">
        <w:t xml:space="preserve">, którą autorka ma na myśli, analizowany jest po prostu pojedynczy wymiar innowacji </w:t>
      </w:r>
      <w:proofErr w:type="spellStart"/>
      <w:r w:rsidRPr="00267F8C">
        <w:t>zasobooszczędnej</w:t>
      </w:r>
      <w:proofErr w:type="spellEnd"/>
      <w:r w:rsidRPr="00267F8C">
        <w:t xml:space="preserve"> (bez modelowania odrębnego „brudnego sektora”), czy też chodzi o to, że podstawowy model </w:t>
      </w:r>
      <w:proofErr w:type="spellStart"/>
      <w:r w:rsidRPr="00267F8C">
        <w:t>schumpeterowski</w:t>
      </w:r>
      <w:proofErr w:type="spellEnd"/>
      <w:r w:rsidRPr="00267F8C">
        <w:t xml:space="preserve"> pozostaje neutralny względem podziału na technologie czyste i brudne, a dychotomia ta zostaje wprowadzona dopiero w </w:t>
      </w:r>
      <w:r w:rsidRPr="00267F8C">
        <w:lastRenderedPageBreak/>
        <w:t>modelach ukierunkowanej zmiany technicznej. Niewielkie przeformułowanie w tym duchu pozwoliłoby uniknąć wrażenia sprzeczności między tymi dwoma zdaniami.</w:t>
      </w:r>
    </w:p>
    <w:p w:rsidR="00F105A3" w:rsidRPr="00267F8C" w:rsidRDefault="00F105A3" w:rsidP="00032E0D">
      <w:pPr>
        <w:pStyle w:val="NormalnyWeb"/>
      </w:pPr>
      <w:r>
        <w:t>---</w:t>
      </w:r>
    </w:p>
    <w:p w:rsidR="00032E0D" w:rsidRPr="00267F8C" w:rsidRDefault="00032E0D" w:rsidP="00032E0D">
      <w:pPr>
        <w:pStyle w:val="NormalnyWeb"/>
      </w:pPr>
      <w:r w:rsidRPr="00267F8C">
        <w:rPr>
          <w:rStyle w:val="Pogrubienie"/>
        </w:rPr>
        <w:t>14. Charakterystyka badań nad skutkami obfitości zasobów</w:t>
      </w:r>
      <w:r w:rsidRPr="00267F8C">
        <w:br/>
      </w:r>
      <w:r w:rsidRPr="00F105A3">
        <w:rPr>
          <w:b/>
        </w:rPr>
        <w:t>Cytat:</w:t>
      </w:r>
      <w:r w:rsidRPr="00267F8C">
        <w:t xml:space="preserve"> &gt; Niemniej jednak analiza poszczególnych krajów ujawnia, że produkcja zasobów naturalnych hamuje rozwój różnych determinant wzrostu (</w:t>
      </w:r>
      <w:proofErr w:type="spellStart"/>
      <w:r w:rsidRPr="00267F8C">
        <w:t>Buccellato</w:t>
      </w:r>
      <w:proofErr w:type="spellEnd"/>
      <w:r w:rsidRPr="00267F8C">
        <w:t xml:space="preserve"> and Mickiewicz, 2009; </w:t>
      </w:r>
      <w:proofErr w:type="spellStart"/>
      <w:r w:rsidRPr="00267F8C">
        <w:t>Oskenbayev</w:t>
      </w:r>
      <w:proofErr w:type="spellEnd"/>
      <w:r w:rsidRPr="00267F8C">
        <w:t xml:space="preserve"> et al., 2013; </w:t>
      </w:r>
      <w:proofErr w:type="spellStart"/>
      <w:r w:rsidRPr="00267F8C">
        <w:t>Papyrakis</w:t>
      </w:r>
      <w:proofErr w:type="spellEnd"/>
      <w:r w:rsidRPr="00267F8C">
        <w:t xml:space="preserve"> and </w:t>
      </w:r>
      <w:proofErr w:type="spellStart"/>
      <w:r w:rsidRPr="00267F8C">
        <w:t>Gerlagh</w:t>
      </w:r>
      <w:proofErr w:type="spellEnd"/>
      <w:r w:rsidRPr="00267F8C">
        <w:t xml:space="preserve">, 2007; </w:t>
      </w:r>
      <w:proofErr w:type="spellStart"/>
      <w:r w:rsidRPr="00267F8C">
        <w:t>Zhang</w:t>
      </w:r>
      <w:proofErr w:type="spellEnd"/>
      <w:r w:rsidRPr="00267F8C">
        <w:t xml:space="preserve"> et al., 2009).</w:t>
      </w:r>
    </w:p>
    <w:p w:rsidR="00032E0D" w:rsidRPr="00267F8C" w:rsidRDefault="00032E0D" w:rsidP="00032E0D">
      <w:pPr>
        <w:pStyle w:val="NormalnyWeb"/>
      </w:pPr>
      <w:r w:rsidRPr="00F105A3">
        <w:rPr>
          <w:b/>
        </w:rPr>
        <w:t>Uwagi:</w:t>
      </w:r>
      <w:r w:rsidRPr="00267F8C">
        <w:t xml:space="preserve"> Stwierdzenie „analiza poszczególnych krajów ujawnia, że produkcja zasobów naturalnych hamuje rozwój różnych determinant wzrostu (</w:t>
      </w:r>
      <w:proofErr w:type="spellStart"/>
      <w:r w:rsidRPr="00267F8C">
        <w:t>Buccellato</w:t>
      </w:r>
      <w:proofErr w:type="spellEnd"/>
      <w:r w:rsidRPr="00267F8C">
        <w:t xml:space="preserve"> and Mickiewicz, 2009; </w:t>
      </w:r>
      <w:proofErr w:type="spellStart"/>
      <w:r w:rsidRPr="00267F8C">
        <w:t>Oskenbayev</w:t>
      </w:r>
      <w:proofErr w:type="spellEnd"/>
      <w:r w:rsidRPr="00267F8C">
        <w:t xml:space="preserve"> et al., 2013; </w:t>
      </w:r>
      <w:proofErr w:type="spellStart"/>
      <w:r w:rsidRPr="00267F8C">
        <w:t>Papyrakis</w:t>
      </w:r>
      <w:proofErr w:type="spellEnd"/>
      <w:r w:rsidRPr="00267F8C">
        <w:t xml:space="preserve"> and </w:t>
      </w:r>
      <w:proofErr w:type="spellStart"/>
      <w:r w:rsidRPr="00267F8C">
        <w:t>Gerlagh</w:t>
      </w:r>
      <w:proofErr w:type="spellEnd"/>
      <w:r w:rsidRPr="00267F8C">
        <w:t xml:space="preserve">, 2007; </w:t>
      </w:r>
      <w:proofErr w:type="spellStart"/>
      <w:r w:rsidRPr="00267F8C">
        <w:t>Zhang</w:t>
      </w:r>
      <w:proofErr w:type="spellEnd"/>
      <w:r w:rsidRPr="00267F8C">
        <w:t xml:space="preserve"> et al., 2009)” może sugerować, że wszystkie cztery cytowane prace są studiami przypadku dotyczącymi pojedynczych krajów lub poziomu </w:t>
      </w:r>
      <w:proofErr w:type="spellStart"/>
      <w:r w:rsidRPr="00267F8C">
        <w:t>subnarodowego</w:t>
      </w:r>
      <w:proofErr w:type="spellEnd"/>
      <w:r w:rsidRPr="00267F8C">
        <w:t>. Z kontekstu wynika jednak, że intencją jest raczej ogólne przeciwstawienie szerokich dowodów na pozytywne skutki wzrostowe badaniom bardziej skoncentrowanym na krajach, które wskazują na niekorzystny wpływ na określone determinanty wzrostu.</w:t>
      </w:r>
    </w:p>
    <w:p w:rsidR="00032E0D" w:rsidRDefault="00032E0D" w:rsidP="00032E0D">
      <w:pPr>
        <w:pStyle w:val="NormalnyWeb"/>
      </w:pPr>
      <w:r w:rsidRPr="00267F8C">
        <w:t>Aby uniknąć ryzyka zbyt dosłownego odczytania sformułowania „analiza poszczególnych krajów” jako stwierdzenia dotyczącego dokładnej konstrukcji prób badawczych w każdej z cytowanych prac, warto byłoby nieco złagodzić lub doprecyzować to wyrażenie (na przykład poprzez odniesienie do „badań na poziomie krajów i regionów” albo inne zasygnalizowanie, że lista obejmuje zarówno analizy pojedynczych państw, jak i bardziej zawężone analizy wielokrajowe). Jest to drobna kwestia redakcyjna, a nie problem merytoryczny syntezy.</w:t>
      </w:r>
    </w:p>
    <w:p w:rsidR="00F105A3" w:rsidRPr="00267F8C" w:rsidRDefault="00F105A3" w:rsidP="00032E0D">
      <w:pPr>
        <w:pStyle w:val="NormalnyWeb"/>
      </w:pPr>
      <w:r>
        <w:t>---</w:t>
      </w:r>
    </w:p>
    <w:p w:rsidR="00032E0D" w:rsidRPr="00267F8C" w:rsidRDefault="00F105A3" w:rsidP="00032E0D">
      <w:pPr>
        <w:pStyle w:val="NormalnyWeb"/>
      </w:pPr>
      <w:r>
        <w:rPr>
          <w:rStyle w:val="Pogrubienie"/>
        </w:rPr>
        <w:t xml:space="preserve">15. </w:t>
      </w:r>
      <w:r w:rsidRPr="00F105A3">
        <w:rPr>
          <w:rStyle w:val="Pogrubienie"/>
        </w:rPr>
        <w:t>Nietrafiony argument dotyczący mediacyjnej roli zarządzania</w:t>
      </w:r>
      <w:r w:rsidR="00032E0D" w:rsidRPr="00267F8C">
        <w:br/>
      </w:r>
      <w:r w:rsidR="00032E0D" w:rsidRPr="00F105A3">
        <w:rPr>
          <w:b/>
        </w:rPr>
        <w:t>Cytat</w:t>
      </w:r>
      <w:r w:rsidR="00032E0D" w:rsidRPr="00267F8C">
        <w:t>: &gt; Może również występować odwrotna zależność przyczynowa, w ramach której złoża zasobów są przyczyną niższego poziomu demokracji (</w:t>
      </w:r>
      <w:proofErr w:type="spellStart"/>
      <w:r w:rsidR="00032E0D" w:rsidRPr="00267F8C">
        <w:t>Barro</w:t>
      </w:r>
      <w:proofErr w:type="spellEnd"/>
      <w:r w:rsidR="00032E0D" w:rsidRPr="00267F8C">
        <w:t xml:space="preserve">, 1999; Ross, 2001; Jensen and </w:t>
      </w:r>
      <w:proofErr w:type="spellStart"/>
      <w:r w:rsidR="00032E0D" w:rsidRPr="00267F8C">
        <w:t>Wantchekon</w:t>
      </w:r>
      <w:proofErr w:type="spellEnd"/>
      <w:r w:rsidR="00032E0D" w:rsidRPr="00267F8C">
        <w:t xml:space="preserve">, 2004; Collier and </w:t>
      </w:r>
      <w:proofErr w:type="spellStart"/>
      <w:r w:rsidR="00032E0D" w:rsidRPr="00267F8C">
        <w:t>Hoeffler</w:t>
      </w:r>
      <w:proofErr w:type="spellEnd"/>
      <w:r w:rsidR="00032E0D" w:rsidRPr="00267F8C">
        <w:t xml:space="preserve">, 2005; </w:t>
      </w:r>
      <w:proofErr w:type="spellStart"/>
      <w:r w:rsidR="00032E0D" w:rsidRPr="00267F8C">
        <w:t>Oskarsson</w:t>
      </w:r>
      <w:proofErr w:type="spellEnd"/>
      <w:r w:rsidR="00032E0D" w:rsidRPr="00267F8C">
        <w:t xml:space="preserve"> and </w:t>
      </w:r>
      <w:proofErr w:type="spellStart"/>
      <w:r w:rsidR="00032E0D" w:rsidRPr="00267F8C">
        <w:t>Ottosen</w:t>
      </w:r>
      <w:proofErr w:type="spellEnd"/>
      <w:r w:rsidR="00032E0D" w:rsidRPr="00267F8C">
        <w:t xml:space="preserve">, 2010; </w:t>
      </w:r>
      <w:proofErr w:type="spellStart"/>
      <w:r w:rsidR="00032E0D" w:rsidRPr="00267F8C">
        <w:t>Arezki</w:t>
      </w:r>
      <w:proofErr w:type="spellEnd"/>
      <w:r w:rsidR="00032E0D" w:rsidRPr="00267F8C">
        <w:t xml:space="preserve"> and Brückner, 2011; </w:t>
      </w:r>
      <w:proofErr w:type="spellStart"/>
      <w:r w:rsidR="00032E0D" w:rsidRPr="00267F8C">
        <w:t>Tsui</w:t>
      </w:r>
      <w:proofErr w:type="spellEnd"/>
      <w:r w:rsidR="00032E0D" w:rsidRPr="00267F8C">
        <w:t xml:space="preserve">, 2011; </w:t>
      </w:r>
      <w:proofErr w:type="spellStart"/>
      <w:r w:rsidR="00032E0D" w:rsidRPr="00267F8C">
        <w:t>Bjorvatn</w:t>
      </w:r>
      <w:proofErr w:type="spellEnd"/>
      <w:r w:rsidR="00032E0D" w:rsidRPr="00267F8C">
        <w:t xml:space="preserve"> et al., 2012; </w:t>
      </w:r>
      <w:proofErr w:type="spellStart"/>
      <w:r w:rsidR="00032E0D" w:rsidRPr="00267F8C">
        <w:t>Awoa</w:t>
      </w:r>
      <w:proofErr w:type="spellEnd"/>
      <w:r w:rsidR="00032E0D" w:rsidRPr="00267F8C">
        <w:t xml:space="preserve"> </w:t>
      </w:r>
      <w:proofErr w:type="spellStart"/>
      <w:r w:rsidR="00032E0D" w:rsidRPr="00267F8C">
        <w:t>Awoa</w:t>
      </w:r>
      <w:proofErr w:type="spellEnd"/>
      <w:r w:rsidR="00032E0D" w:rsidRPr="00267F8C">
        <w:t xml:space="preserve"> and </w:t>
      </w:r>
      <w:proofErr w:type="spellStart"/>
      <w:r w:rsidR="00032E0D" w:rsidRPr="00267F8C">
        <w:t>Ondoa</w:t>
      </w:r>
      <w:proofErr w:type="spellEnd"/>
      <w:r w:rsidR="00032E0D" w:rsidRPr="00267F8C">
        <w:t>, 2023). ... Ponadto Park and Lee (2006) podkreślają, że kraje afrykańskie muszą utrzymywać określoną jakość rządzenia, aby uniknąć negatywnych skutków eksportu zasobów dla wzrostu gospodarczego. Efekt ten jest nasilany przez ich niedemokratyczne i niestabilne środowiska polityczne.</w:t>
      </w:r>
    </w:p>
    <w:p w:rsidR="00032E0D" w:rsidRPr="00267F8C" w:rsidRDefault="00032E0D" w:rsidP="00032E0D">
      <w:pPr>
        <w:pStyle w:val="NormalnyWeb"/>
      </w:pPr>
      <w:r w:rsidRPr="00F105A3">
        <w:rPr>
          <w:b/>
        </w:rPr>
        <w:t>Uwagi:</w:t>
      </w:r>
      <w:r w:rsidRPr="00267F8C">
        <w:t xml:space="preserve"> Początkowo zdanie dotyczące Park and Lee (2006) może sprawiać wrażenie, że akapit odchodzi od problemu odwrotnej zależności przyczynowej na rzecz pośredniczącej roli instytucji w relacji zasoby–wzrost, ponieważ akcentuje </w:t>
      </w:r>
      <w:proofErr w:type="spellStart"/>
      <w:r w:rsidRPr="00267F8C">
        <w:t>governance</w:t>
      </w:r>
      <w:proofErr w:type="spellEnd"/>
      <w:r w:rsidRPr="00267F8C">
        <w:t xml:space="preserve"> jako warunek uniknięcia negatywnych skutków dla wzrostu. Dopiero z dalszego kontekstu wynika, że zdanie otwierające („Jakość i typ rządzenia odgrywają kluczową rolę…”) ma wprowadzać oba kanały jednocześnie — instytucje jako czynnik pośredniczący oraz wpływ zasobów na reżimy polityczne — a wzmianka o „niedemokratycznych i niestabilnych środowiskach politycznych” łączy Park and Lee z wątkiem demokracji. Aby uniknąć niepewności co do tego, czy to zdanie należy do narracji o mediacji, czy o odwrotnej przyczynowości, warto byłoby wyraźnie zaznaczyć tę funkcję łączącą (na przykład poprzez jaśniejsze zasygnalizowanie, że w ramach jednego akapitu omawiane są oba kanały w perspektywie </w:t>
      </w:r>
      <w:proofErr w:type="spellStart"/>
      <w:r w:rsidRPr="00267F8C">
        <w:t>governance</w:t>
      </w:r>
      <w:proofErr w:type="spellEnd"/>
      <w:r w:rsidRPr="00267F8C">
        <w:t>).</w:t>
      </w:r>
    </w:p>
    <w:p w:rsidR="00032E0D" w:rsidRPr="00267F8C" w:rsidRDefault="00032E0D" w:rsidP="00032E0D">
      <w:pPr>
        <w:pStyle w:val="NormalnyWeb"/>
      </w:pPr>
      <w:r w:rsidRPr="00267F8C">
        <w:rPr>
          <w:rStyle w:val="Pogrubienie"/>
        </w:rPr>
        <w:lastRenderedPageBreak/>
        <w:t>16. Sprzeczne użycie Jemenu jako przykładu</w:t>
      </w:r>
      <w:r w:rsidRPr="00267F8C">
        <w:br/>
      </w:r>
      <w:r w:rsidRPr="00F105A3">
        <w:rPr>
          <w:b/>
        </w:rPr>
        <w:t>Cytat</w:t>
      </w:r>
      <w:r w:rsidRPr="00267F8C">
        <w:t xml:space="preserve">: &gt; Obfitość zasobów nie zawsze prowadzi do powolnego wzrostu, ponieważ niektórzy rozwijający się eksporterzy zasobów (np. Botswana, Chile, Peru i Jemen) doświadczyli pozytywnego wzrostu gospodarczego. Co istotne, </w:t>
      </w:r>
      <w:proofErr w:type="spellStart"/>
      <w:r w:rsidRPr="00267F8C">
        <w:t>Badeeb</w:t>
      </w:r>
      <w:proofErr w:type="spellEnd"/>
      <w:r w:rsidRPr="00267F8C">
        <w:t xml:space="preserve"> et al. (2017), rozwijając argumentację Karl (2005), wskazują, że problem klątwy surowcowej może wynikać raczej z niskiej dywersyfikacji zasobów naturalnych niż z samego posiadania złóż zasobów naturalnych.</w:t>
      </w:r>
    </w:p>
    <w:p w:rsidR="00032E0D" w:rsidRDefault="00032E0D" w:rsidP="00032E0D">
      <w:pPr>
        <w:pStyle w:val="NormalnyWeb"/>
      </w:pPr>
      <w:r w:rsidRPr="00F105A3">
        <w:rPr>
          <w:b/>
        </w:rPr>
        <w:t>Uwagi</w:t>
      </w:r>
      <w:r w:rsidRPr="00267F8C">
        <w:t xml:space="preserve">: We wprowadzeniu Jemen jest wskazany (za </w:t>
      </w:r>
      <w:proofErr w:type="spellStart"/>
      <w:r w:rsidRPr="00267F8C">
        <w:t>Badeeb</w:t>
      </w:r>
      <w:proofErr w:type="spellEnd"/>
      <w:r w:rsidRPr="00267F8C">
        <w:t xml:space="preserve"> and Lean, 2017) jako „często analizowany” przykład, w którym materializuje się postrzeganie porażki rozwojowej związanej z zasobami, podczas gdy sekcja 2.2, podsumowując </w:t>
      </w:r>
      <w:proofErr w:type="spellStart"/>
      <w:r w:rsidRPr="00267F8C">
        <w:t>Badeeb</w:t>
      </w:r>
      <w:proofErr w:type="spellEnd"/>
      <w:r w:rsidRPr="00267F8C">
        <w:t xml:space="preserve"> et al. (2017), wymienia Jemen wśród rozwijających się eksporterów zasobów, którzy „doświadczyli pozytywnego wzrostu gospodarczego”. Ponieważ oba odwołania do Jemenu nie są opatrzone żadnym wskazaniem horyzontu czasowego ani wymiaru wyniku (np. ogólna kondycja instytucjonalna i polityczna versus okresy wzrostu PKB), część czytelników może mieć trudność z pogodzeniem tych dwóch ujęć.</w:t>
      </w:r>
    </w:p>
    <w:p w:rsidR="00F105A3" w:rsidRPr="00267F8C" w:rsidRDefault="00F105A3" w:rsidP="00032E0D">
      <w:pPr>
        <w:pStyle w:val="NormalnyWeb"/>
      </w:pPr>
      <w:r>
        <w:t>---</w:t>
      </w:r>
    </w:p>
    <w:p w:rsidR="00032E0D" w:rsidRPr="00267F8C" w:rsidRDefault="00032E0D" w:rsidP="00032E0D">
      <w:pPr>
        <w:pStyle w:val="NormalnyWeb"/>
      </w:pPr>
      <w:r w:rsidRPr="00267F8C">
        <w:rPr>
          <w:rStyle w:val="Pogrubienie"/>
        </w:rPr>
        <w:t>17. Potencjalnie mylące podsumowanie metaanalizy dotyczącej instytucji</w:t>
      </w:r>
      <w:r w:rsidRPr="00267F8C">
        <w:br/>
      </w:r>
      <w:r w:rsidRPr="00F105A3">
        <w:rPr>
          <w:b/>
        </w:rPr>
        <w:t>Cytat:</w:t>
      </w:r>
      <w:r w:rsidRPr="00267F8C">
        <w:t xml:space="preserve"> &gt; Autorzy podkreślają również, że chociaż jakość instytucjonalna nie odgrywa istotnej roli w relacji między zasobami naturalnymi a wzrostem gospodarczym, jej interakcja z zasobami naturalnymi ma kluczowe znaczenie dla dobrobytu gospodarczego.</w:t>
      </w:r>
    </w:p>
    <w:p w:rsidR="00032E0D" w:rsidRPr="00267F8C" w:rsidRDefault="00032E0D" w:rsidP="00032E0D">
      <w:pPr>
        <w:pStyle w:val="NormalnyWeb"/>
      </w:pPr>
      <w:r w:rsidRPr="00F105A3">
        <w:rPr>
          <w:b/>
        </w:rPr>
        <w:t>Uwag</w:t>
      </w:r>
      <w:r w:rsidRPr="00267F8C">
        <w:t xml:space="preserve">i: Zdanie podsumowujące </w:t>
      </w:r>
      <w:proofErr w:type="spellStart"/>
      <w:r w:rsidRPr="00267F8C">
        <w:t>Dauvin</w:t>
      </w:r>
      <w:proofErr w:type="spellEnd"/>
      <w:r w:rsidRPr="00267F8C">
        <w:t xml:space="preserve"> and </w:t>
      </w:r>
      <w:proofErr w:type="spellStart"/>
      <w:r w:rsidRPr="00267F8C">
        <w:t>Guerreiro</w:t>
      </w:r>
      <w:proofErr w:type="spellEnd"/>
      <w:r w:rsidRPr="00267F8C">
        <w:t xml:space="preserve"> (2017), zgodnie z którym „jakość instytucjonalna nie odgrywa istotnej roli w relacji zasoby naturalne–wzrost gospodarczy, [ale] jej interakcja z zasobami naturalnymi ma kluczowe znaczenie dla dobrobytu gospodarczego”, może być łatwo błędnie odczytane. Na pierwszy rzut oka sformułowanie „nie odgrywa istotnej roli” może sugerować, że instytucje są nieistotne dla relacji zasoby–wzrost, co pozostaje w sprzeczności zarówno z wcześniejszą dyskusją w tej sekcji, jak i z następującą bezpośrednio po nim klauzulą, określającą składnik interakcyjny jako „kluczowy”.</w:t>
      </w:r>
    </w:p>
    <w:p w:rsidR="00032E0D" w:rsidRDefault="00032E0D" w:rsidP="00032E0D">
      <w:pPr>
        <w:pStyle w:val="NormalnyWeb"/>
      </w:pPr>
      <w:r w:rsidRPr="00267F8C">
        <w:t xml:space="preserve">Ponieważ </w:t>
      </w:r>
      <w:proofErr w:type="spellStart"/>
      <w:r w:rsidRPr="00267F8C">
        <w:t>Dauvin</w:t>
      </w:r>
      <w:proofErr w:type="spellEnd"/>
      <w:r w:rsidRPr="00267F8C">
        <w:t xml:space="preserve"> and </w:t>
      </w:r>
      <w:proofErr w:type="spellStart"/>
      <w:r w:rsidRPr="00267F8C">
        <w:t>Guerreiro</w:t>
      </w:r>
      <w:proofErr w:type="spellEnd"/>
      <w:r w:rsidRPr="00267F8C">
        <w:t xml:space="preserve"> rozróżniają bezpośrednie efekty instytucji od efektów działających poprzez interakcję </w:t>
      </w:r>
      <w:proofErr w:type="spellStart"/>
      <w:r w:rsidRPr="00267F8C">
        <w:t>NR×instytucje</w:t>
      </w:r>
      <w:proofErr w:type="spellEnd"/>
      <w:r w:rsidRPr="00267F8C">
        <w:t>, warto byłoby wyraźnie wskazać, że ich metaanaliza stwierdza częstą statystyczną nieistotność bezpośredniego współczynnika jakości instytucjonalnej, podczas gdy interakcja między jakością instytucjonalną a zasobami naturalnymi jest statystycznie i ekonomicznie istotna. Takie doprecyzowanie pozwoliłoby uniknąć wrażenia, że instytucje są irrelewantne, i zachowałoby pełną spójność z szerszą narracją, zgodnie z którą jakość instytucjonalna warunkuje relację między zasobami a wzrostem.</w:t>
      </w:r>
    </w:p>
    <w:p w:rsidR="00F17575" w:rsidRPr="00267F8C" w:rsidRDefault="00F17575" w:rsidP="00032E0D">
      <w:pPr>
        <w:pStyle w:val="NormalnyWeb"/>
      </w:pPr>
      <w:r>
        <w:t>---</w:t>
      </w:r>
    </w:p>
    <w:p w:rsidR="00032E0D" w:rsidRPr="00267F8C" w:rsidRDefault="00032E0D" w:rsidP="00032E0D">
      <w:pPr>
        <w:pStyle w:val="NormalnyWeb"/>
      </w:pPr>
      <w:r w:rsidRPr="00267F8C">
        <w:rPr>
          <w:rStyle w:val="Pogrubienie"/>
        </w:rPr>
        <w:t>18. Nieprawidłowe przedstawienie wyników Jonesa (1995) w sekcji 2.3</w:t>
      </w:r>
      <w:r w:rsidRPr="00267F8C">
        <w:br/>
      </w:r>
      <w:r w:rsidRPr="009637C4">
        <w:rPr>
          <w:b/>
        </w:rPr>
        <w:t>Cytat:</w:t>
      </w:r>
      <w:r w:rsidRPr="00267F8C">
        <w:t xml:space="preserve"> &gt; Jednym z największych wyzwań dla modelu endogenicznej zmiany technologicznej Romera jest rozbieżność między długookresowymi trendami w działalności B+R a produktywnością, przede wszystkim w krajach OECD. Mimo że liczba osób zaangażowanych w działalność B+R w USA wzrosła pięciokrotnie między latami 50. a 90. XX wieku, nie zaobserwowano wyraźnego trendu wzrostowego ani w całkowitej produktywności czynników produkcji (TFP), ani w produkcji na pracownika (Jones, 1995a, 1995b).</w:t>
      </w:r>
    </w:p>
    <w:p w:rsidR="00032E0D" w:rsidRDefault="00032E0D" w:rsidP="00032E0D">
      <w:pPr>
        <w:pStyle w:val="NormalnyWeb"/>
      </w:pPr>
      <w:r w:rsidRPr="009637C4">
        <w:rPr>
          <w:b/>
        </w:rPr>
        <w:lastRenderedPageBreak/>
        <w:t>Uwagi</w:t>
      </w:r>
      <w:r w:rsidRPr="00267F8C">
        <w:t>: Zdanie to przypisuje Jonesowi (1995a, 1995b) twierdzenie, że „nie zaobserwowano wyraźnego trendu wzrostowego ani w TFP, ani w produkcji na pracownika”. Jest to mylące. W danych powojennych dla USA poziomy TFP i produkcji na pracownika wykazują wyraźne trendy wzrostowe. Jones podkreśla natomiast, że ich stopy wzrostu nie wykazują trendu rosnącego (a wręcz mogą spadać) mimo znacznego wzrostu nakładów na B+R. Ponieważ otaczająca ten fragment dyskusja dotyczy krytyki efektu skali, istotne byłoby jednoznaczne doprecyzowanie, że zagadką jest brak rosnącego trendu w stopie wzrostu TFP i produkcji na pracownika, a nie w ich poziomach.</w:t>
      </w:r>
    </w:p>
    <w:p w:rsidR="009637C4" w:rsidRPr="00267F8C" w:rsidRDefault="009637C4" w:rsidP="00032E0D">
      <w:pPr>
        <w:pStyle w:val="NormalnyWeb"/>
      </w:pPr>
      <w:r>
        <w:t>---</w:t>
      </w:r>
    </w:p>
    <w:p w:rsidR="00032E0D" w:rsidRPr="00267F8C" w:rsidRDefault="00032E0D" w:rsidP="00032E0D">
      <w:pPr>
        <w:pStyle w:val="NormalnyWeb"/>
      </w:pPr>
      <w:r w:rsidRPr="00267F8C">
        <w:rPr>
          <w:rStyle w:val="Pogrubienie"/>
        </w:rPr>
        <w:t>19. Nieprecyzyjne definicje neutralności technologicznej w sekcji 2.3</w:t>
      </w:r>
      <w:r w:rsidRPr="00267F8C">
        <w:br/>
      </w:r>
      <w:r w:rsidRPr="009637C4">
        <w:rPr>
          <w:b/>
        </w:rPr>
        <w:t>Cytat</w:t>
      </w:r>
      <w:r w:rsidRPr="00267F8C">
        <w:t xml:space="preserve">: &gt; W obrębie produkcji technologia może być ujmowana jako </w:t>
      </w:r>
      <w:proofErr w:type="spellStart"/>
      <w:r w:rsidRPr="00267F8C">
        <w:t>Hicks</w:t>
      </w:r>
      <w:proofErr w:type="spellEnd"/>
      <w:r w:rsidRPr="00267F8C">
        <w:t>-neutralna (</w:t>
      </w:r>
      <w:proofErr w:type="spellStart"/>
      <w:r w:rsidRPr="00267F8C">
        <w:t>augmentująca</w:t>
      </w:r>
      <w:proofErr w:type="spellEnd"/>
      <w:r w:rsidRPr="00267F8C">
        <w:t xml:space="preserve"> czynnik), </w:t>
      </w:r>
      <w:proofErr w:type="spellStart"/>
      <w:r w:rsidRPr="00267F8C">
        <w:t>Harrod</w:t>
      </w:r>
      <w:proofErr w:type="spellEnd"/>
      <w:r w:rsidRPr="00267F8C">
        <w:t>-neutralna (</w:t>
      </w:r>
      <w:proofErr w:type="spellStart"/>
      <w:r w:rsidRPr="00267F8C">
        <w:t>augmentująca</w:t>
      </w:r>
      <w:proofErr w:type="spellEnd"/>
      <w:r w:rsidRPr="00267F8C">
        <w:t xml:space="preserve"> pracę) lub </w:t>
      </w:r>
      <w:proofErr w:type="spellStart"/>
      <w:r w:rsidRPr="00267F8C">
        <w:t>Solow</w:t>
      </w:r>
      <w:proofErr w:type="spellEnd"/>
      <w:r w:rsidRPr="00267F8C">
        <w:t>-neutralna (</w:t>
      </w:r>
      <w:proofErr w:type="spellStart"/>
      <w:r w:rsidRPr="00267F8C">
        <w:t>augmentująca</w:t>
      </w:r>
      <w:proofErr w:type="spellEnd"/>
      <w:r w:rsidRPr="00267F8C">
        <w:t xml:space="preserve"> kapitał). Początkowo technologia była postrzegana jako środek poprawy produktywności pracy i jakości produktów, a także generowania nowych idei sprzyjających wzrostowi (Romer, 1990; Jones, 2005; </w:t>
      </w:r>
      <w:proofErr w:type="spellStart"/>
      <w:r w:rsidRPr="00267F8C">
        <w:t>Klump</w:t>
      </w:r>
      <w:proofErr w:type="spellEnd"/>
      <w:r w:rsidRPr="00267F8C">
        <w:t xml:space="preserve"> et al., 2007).</w:t>
      </w:r>
    </w:p>
    <w:p w:rsidR="00032E0D" w:rsidRDefault="00032E0D" w:rsidP="00032E0D">
      <w:pPr>
        <w:pStyle w:val="NormalnyWeb"/>
      </w:pPr>
      <w:r w:rsidRPr="009637C4">
        <w:rPr>
          <w:b/>
        </w:rPr>
        <w:t>Uwagi</w:t>
      </w:r>
      <w:r w:rsidRPr="00267F8C">
        <w:t>: Sformułowanie „</w:t>
      </w:r>
      <w:proofErr w:type="spellStart"/>
      <w:r w:rsidRPr="00267F8C">
        <w:t>Hicks</w:t>
      </w:r>
      <w:proofErr w:type="spellEnd"/>
      <w:r w:rsidRPr="00267F8C">
        <w:t>-neutralna (</w:t>
      </w:r>
      <w:proofErr w:type="spellStart"/>
      <w:r w:rsidRPr="00267F8C">
        <w:t>augmentująca</w:t>
      </w:r>
      <w:proofErr w:type="spellEnd"/>
      <w:r w:rsidRPr="00267F8C">
        <w:t xml:space="preserve"> czynnik)” nie jest w pełni zgodne ze standardową typologią postępu technicznego. W teorii wzrostu i produkcji zmiany </w:t>
      </w:r>
      <w:proofErr w:type="spellStart"/>
      <w:r w:rsidRPr="00267F8C">
        <w:t>Harrod</w:t>
      </w:r>
      <w:proofErr w:type="spellEnd"/>
      <w:r w:rsidRPr="00267F8C">
        <w:t xml:space="preserve">-neutralne i </w:t>
      </w:r>
      <w:proofErr w:type="spellStart"/>
      <w:r w:rsidRPr="00267F8C">
        <w:t>Solow</w:t>
      </w:r>
      <w:proofErr w:type="spellEnd"/>
      <w:r w:rsidRPr="00267F8C">
        <w:t xml:space="preserve">-neutralne są specyficznymi formami postępu technicznego </w:t>
      </w:r>
      <w:proofErr w:type="spellStart"/>
      <w:r w:rsidRPr="00267F8C">
        <w:t>augmentującego</w:t>
      </w:r>
      <w:proofErr w:type="spellEnd"/>
      <w:r w:rsidRPr="00267F8C">
        <w:t xml:space="preserve"> czynnik produkcji — odpowiednio pracę i kapitał. Zmiana </w:t>
      </w:r>
      <w:proofErr w:type="spellStart"/>
      <w:r w:rsidRPr="00267F8C">
        <w:t>Hicks</w:t>
      </w:r>
      <w:proofErr w:type="spellEnd"/>
      <w:r w:rsidRPr="00267F8C">
        <w:t xml:space="preserve">-neutralna jest zazwyczaj przedstawiana jako </w:t>
      </w:r>
      <w:r w:rsidRPr="009637C4">
        <w:rPr>
          <w:i/>
        </w:rPr>
        <w:t>Y = A(t)F(K,L)</w:t>
      </w:r>
      <w:r w:rsidRPr="00267F8C">
        <w:t xml:space="preserve"> i opisywana jako postęp </w:t>
      </w:r>
      <w:proofErr w:type="spellStart"/>
      <w:r w:rsidRPr="00267F8C">
        <w:t>augmentujący</w:t>
      </w:r>
      <w:proofErr w:type="spellEnd"/>
      <w:r w:rsidRPr="00267F8C">
        <w:t xml:space="preserve"> produkt lub neutralny względem czynników; może być uznana za szczególny przypadek postępu </w:t>
      </w:r>
      <w:proofErr w:type="spellStart"/>
      <w:r w:rsidRPr="00267F8C">
        <w:t>augmentującego</w:t>
      </w:r>
      <w:proofErr w:type="spellEnd"/>
      <w:r w:rsidRPr="00267F8C">
        <w:t xml:space="preserve"> czynniki jedynie wtedy, gdy oba czynniki są </w:t>
      </w:r>
      <w:proofErr w:type="spellStart"/>
      <w:r w:rsidRPr="00267F8C">
        <w:t>augmentowane</w:t>
      </w:r>
      <w:proofErr w:type="spellEnd"/>
      <w:r w:rsidRPr="00267F8C">
        <w:t xml:space="preserve"> proporcjonalnie. W obecnym brzmieniu zdanie zaciera to rozróżnienie i może sprawiać wrażenie, że neutralność </w:t>
      </w:r>
      <w:proofErr w:type="spellStart"/>
      <w:r w:rsidRPr="00267F8C">
        <w:t>Hicksa</w:t>
      </w:r>
      <w:proofErr w:type="spellEnd"/>
      <w:r w:rsidRPr="00267F8C">
        <w:t xml:space="preserve"> jest po prostu synonimem ogólnej augmentacji czynnika. Dla zwiększenia precyzji warto byłoby wyraźnie oddzielić ogólną postać postępu technicznego </w:t>
      </w:r>
      <w:proofErr w:type="spellStart"/>
      <w:r w:rsidRPr="00267F8C">
        <w:t>augmentującego</w:t>
      </w:r>
      <w:proofErr w:type="spellEnd"/>
      <w:r w:rsidRPr="00267F8C">
        <w:t xml:space="preserve"> czynniki od jego wariantów </w:t>
      </w:r>
      <w:proofErr w:type="spellStart"/>
      <w:r w:rsidRPr="00267F8C">
        <w:t>Harroda</w:t>
      </w:r>
      <w:proofErr w:type="spellEnd"/>
      <w:r w:rsidRPr="00267F8C">
        <w:t xml:space="preserve">, Solowa i </w:t>
      </w:r>
      <w:proofErr w:type="spellStart"/>
      <w:r w:rsidRPr="00267F8C">
        <w:t>Hicksa</w:t>
      </w:r>
      <w:proofErr w:type="spellEnd"/>
      <w:r w:rsidRPr="00267F8C">
        <w:t xml:space="preserve"> oraz unikać sugerowania, że jedynie zmiana </w:t>
      </w:r>
      <w:proofErr w:type="spellStart"/>
      <w:r w:rsidRPr="00267F8C">
        <w:t>Hicks</w:t>
      </w:r>
      <w:proofErr w:type="spellEnd"/>
      <w:r w:rsidRPr="00267F8C">
        <w:t>-neutralna jest „</w:t>
      </w:r>
      <w:proofErr w:type="spellStart"/>
      <w:r w:rsidRPr="00267F8C">
        <w:t>augmentująca</w:t>
      </w:r>
      <w:proofErr w:type="spellEnd"/>
      <w:r w:rsidRPr="00267F8C">
        <w:t xml:space="preserve"> czynnik”.</w:t>
      </w:r>
    </w:p>
    <w:p w:rsidR="009637C4" w:rsidRPr="00267F8C" w:rsidRDefault="009637C4" w:rsidP="00032E0D">
      <w:pPr>
        <w:pStyle w:val="NormalnyWeb"/>
      </w:pPr>
      <w:r>
        <w:t>---</w:t>
      </w:r>
    </w:p>
    <w:p w:rsidR="00032E0D" w:rsidRPr="00267F8C" w:rsidRDefault="00032E0D" w:rsidP="00032E0D">
      <w:pPr>
        <w:pStyle w:val="NormalnyWeb"/>
      </w:pPr>
      <w:r w:rsidRPr="00267F8C">
        <w:rPr>
          <w:rStyle w:val="Pogrubienie"/>
        </w:rPr>
        <w:t>20. Sprzeczna numeracja rewolucji przemysłowych (sekcja 2.3)</w:t>
      </w:r>
      <w:r w:rsidRPr="00267F8C">
        <w:br/>
      </w:r>
      <w:r w:rsidRPr="009637C4">
        <w:rPr>
          <w:b/>
        </w:rPr>
        <w:t>Cytat:</w:t>
      </w:r>
      <w:r w:rsidRPr="00267F8C">
        <w:t xml:space="preserve"> &gt; Ostatecznie piąta rewolucja przemysłowa rozpoczęła się w latach 70. wraz z wprowadzeniem mikroprocesora przez firmę Intel i opierała się na cyfryzacji oraz komputeryzacji.</w:t>
      </w:r>
      <w:r w:rsidRPr="00267F8C">
        <w:br/>
        <w:t>Jak wspomniano powyżej, znaczące postępy technologiczne były konsekwentnie związane ze wzrostem produktywności (</w:t>
      </w:r>
      <w:proofErr w:type="spellStart"/>
      <w:r w:rsidRPr="00267F8C">
        <w:t>Schurr</w:t>
      </w:r>
      <w:proofErr w:type="spellEnd"/>
      <w:r w:rsidRPr="00267F8C">
        <w:t xml:space="preserve"> et al., 1960; </w:t>
      </w:r>
      <w:proofErr w:type="spellStart"/>
      <w:r w:rsidRPr="00267F8C">
        <w:t>Crafts</w:t>
      </w:r>
      <w:proofErr w:type="spellEnd"/>
      <w:r w:rsidRPr="00267F8C">
        <w:t>, 2004). W związku z tym od lat 80. wpływ technologii informacyjno-komunikacyjnych (ICT), będących wskaźnikiem trzeciej rewolucji przemysłowej, był intensywnie analizowany...</w:t>
      </w:r>
    </w:p>
    <w:p w:rsidR="00032E0D" w:rsidRPr="00267F8C" w:rsidRDefault="00032E0D" w:rsidP="00032E0D">
      <w:pPr>
        <w:pStyle w:val="NormalnyWeb"/>
      </w:pPr>
      <w:r w:rsidRPr="009637C4">
        <w:rPr>
          <w:b/>
        </w:rPr>
        <w:t>Uwagi</w:t>
      </w:r>
      <w:r w:rsidRPr="00267F8C">
        <w:t>: W tym fragmencie temu samemu epizodowi technologicznemu przypisano dwie różne nazwy porządkowe. Cyfrowa rewolucja oparta na mikroprocesorze z lat 70. została najpierw określona jako „piąta rewolucja przemysłowa”, natomiast w następnym akapicie ICT opisano jako „wskaźnik trzeciej rewolucji przemysłowej”. Ponieważ oba zdania wyraźnie odnoszą się do tej samej fali ICT/cyfryzacji, taka zmiana numeracji — bez żadnego wyjaśnienia — jest myląca.</w:t>
      </w:r>
    </w:p>
    <w:p w:rsidR="00032E0D" w:rsidRDefault="00032E0D" w:rsidP="00032E0D">
      <w:pPr>
        <w:pStyle w:val="NormalnyWeb"/>
      </w:pPr>
      <w:r w:rsidRPr="00267F8C">
        <w:lastRenderedPageBreak/>
        <w:t>Wydaje się, że w tym miejscu jednocześnie wykorzystywane są: rama Freemana i Pereza, obejmująca pięć „rewolucji” technologicznych lub paradygmatów techno-ekonomicznych (w której paradygmat ICT jest piąty), oraz bardziej standardowe ujęcie obecne w literaturze dotyczącej wzrostu i produktywności, które falę ICT określa mianem trzeciej rewolucji przemysłowej. Pomocne byłoby przyjęcie w tej sekcji jednej konwencji numeracyjnej albo wyraźne rozróżnienie między „piątą rewolucją technologiczną” w ujęciu Freemana–Pereza a powszechnie używanym określeniem „trzecia rewolucja przemysłowa”, tak aby czytelnik nie musiał samodzielnie domyślać się, dlaczego ten sam epizod jest różnie numerowany w kolejnych akapitach.</w:t>
      </w:r>
    </w:p>
    <w:p w:rsidR="009637C4" w:rsidRPr="00267F8C" w:rsidRDefault="009637C4" w:rsidP="00032E0D">
      <w:pPr>
        <w:pStyle w:val="NormalnyWeb"/>
      </w:pPr>
      <w:r>
        <w:t>---</w:t>
      </w:r>
    </w:p>
    <w:p w:rsidR="000A1B1B" w:rsidRPr="009637C4" w:rsidRDefault="000A1B1B" w:rsidP="000A1B1B">
      <w:pPr>
        <w:rPr>
          <w:rFonts w:ascii="Times New Roman" w:hAnsi="Times New Roman" w:cs="Times New Roman"/>
          <w:b/>
        </w:rPr>
      </w:pPr>
      <w:r w:rsidRPr="009637C4">
        <w:rPr>
          <w:rFonts w:ascii="Times New Roman" w:hAnsi="Times New Roman" w:cs="Times New Roman"/>
          <w:b/>
        </w:rPr>
        <w:t xml:space="preserve">21. Niepełne omówienie pracy </w:t>
      </w:r>
      <w:proofErr w:type="spellStart"/>
      <w:r w:rsidRPr="009637C4">
        <w:rPr>
          <w:rFonts w:ascii="Times New Roman" w:hAnsi="Times New Roman" w:cs="Times New Roman"/>
          <w:b/>
        </w:rPr>
        <w:t>Brynjolfssona</w:t>
      </w:r>
      <w:proofErr w:type="spellEnd"/>
      <w:r w:rsidRPr="009637C4">
        <w:rPr>
          <w:rFonts w:ascii="Times New Roman" w:hAnsi="Times New Roman" w:cs="Times New Roman"/>
          <w:b/>
        </w:rPr>
        <w:t xml:space="preserve"> i in. (2019) dotyczącej paradoksu produktywności</w:t>
      </w:r>
    </w:p>
    <w:p w:rsidR="000A1B1B" w:rsidRDefault="000A1B1B" w:rsidP="000A1B1B">
      <w:pPr>
        <w:rPr>
          <w:rFonts w:ascii="Times New Roman" w:hAnsi="Times New Roman" w:cs="Times New Roman"/>
        </w:rPr>
      </w:pPr>
      <w:r w:rsidRPr="009637C4">
        <w:rPr>
          <w:rFonts w:ascii="Times New Roman" w:hAnsi="Times New Roman" w:cs="Times New Roman"/>
          <w:b/>
        </w:rPr>
        <w:t>Cytat</w:t>
      </w:r>
      <w:r w:rsidRPr="00267F8C">
        <w:rPr>
          <w:rFonts w:ascii="Times New Roman" w:hAnsi="Times New Roman" w:cs="Times New Roman"/>
        </w:rPr>
        <w:t xml:space="preserve">: &gt; </w:t>
      </w:r>
      <w:proofErr w:type="spellStart"/>
      <w:r w:rsidRPr="00267F8C">
        <w:rPr>
          <w:rFonts w:ascii="Times New Roman" w:hAnsi="Times New Roman" w:cs="Times New Roman"/>
        </w:rPr>
        <w:t>Brynjolfsson</w:t>
      </w:r>
      <w:proofErr w:type="spellEnd"/>
      <w:r w:rsidRPr="00267F8C">
        <w:rPr>
          <w:rFonts w:ascii="Times New Roman" w:hAnsi="Times New Roman" w:cs="Times New Roman"/>
        </w:rPr>
        <w:t xml:space="preserve"> i in. (2019) wskazują w szczególności na fałszywe nadzieje, przesadny optymizm, błędny pomiar produkcji i produktywności oraz fakt, że korzyści z nowych technologii są udziałem jedynie nielicznych.</w:t>
      </w:r>
    </w:p>
    <w:p w:rsidR="009637C4" w:rsidRPr="00267F8C" w:rsidRDefault="009637C4" w:rsidP="000A1B1B">
      <w:pPr>
        <w:rPr>
          <w:rFonts w:ascii="Times New Roman" w:hAnsi="Times New Roman" w:cs="Times New Roman"/>
        </w:rPr>
      </w:pPr>
    </w:p>
    <w:p w:rsidR="000A1B1B" w:rsidRDefault="000A1B1B" w:rsidP="000A1B1B">
      <w:pPr>
        <w:rPr>
          <w:rFonts w:ascii="Times New Roman" w:hAnsi="Times New Roman" w:cs="Times New Roman"/>
        </w:rPr>
      </w:pPr>
      <w:r w:rsidRPr="009637C4">
        <w:rPr>
          <w:rFonts w:ascii="Times New Roman" w:hAnsi="Times New Roman" w:cs="Times New Roman"/>
          <w:b/>
        </w:rPr>
        <w:t>Uwagi</w:t>
      </w:r>
      <w:r w:rsidRPr="00267F8C">
        <w:rPr>
          <w:rFonts w:ascii="Times New Roman" w:hAnsi="Times New Roman" w:cs="Times New Roman"/>
        </w:rPr>
        <w:t xml:space="preserve">: Obecne omówienie pracy </w:t>
      </w:r>
      <w:proofErr w:type="spellStart"/>
      <w:r w:rsidRPr="00267F8C">
        <w:rPr>
          <w:rFonts w:ascii="Times New Roman" w:hAnsi="Times New Roman" w:cs="Times New Roman"/>
        </w:rPr>
        <w:t>Brynjolfssona</w:t>
      </w:r>
      <w:proofErr w:type="spellEnd"/>
      <w:r w:rsidRPr="00267F8C">
        <w:rPr>
          <w:rFonts w:ascii="Times New Roman" w:hAnsi="Times New Roman" w:cs="Times New Roman"/>
        </w:rPr>
        <w:t xml:space="preserve"> i in. (2019) w tym zdaniu pomija jedno z ich głównych wyjaśnień współczesnego paradoksu produktywności. Autorzy omawiają nie tylko fałszywe nadzieje, błędny pomiar oraz koncentrację korzyści w rękach nielicznych przedsiębiorstw, lecz także opóźnienia wdrożeniowe i restrukturyzacyjne związane z adaptacją sztucznej inteligencji jako technologii ogólnego zastosowania, które następnie formalizują jako „krzywą J produktywności”. Biorąc pod uwagę, jak centralne znaczenie ma w ich pracy ten mechanizm opóźnionego dostosowania oraz jego rola w późniejszych dyskusjach nad paradoksem produktywności, zasadne byłoby dodanie krótkiego odniesienia do tego czwartego wyjaśnienia przy cytowaniu </w:t>
      </w:r>
      <w:proofErr w:type="spellStart"/>
      <w:r w:rsidRPr="00267F8C">
        <w:rPr>
          <w:rFonts w:ascii="Times New Roman" w:hAnsi="Times New Roman" w:cs="Times New Roman"/>
        </w:rPr>
        <w:t>Brynjolfssona</w:t>
      </w:r>
      <w:proofErr w:type="spellEnd"/>
      <w:r w:rsidRPr="00267F8C">
        <w:rPr>
          <w:rFonts w:ascii="Times New Roman" w:hAnsi="Times New Roman" w:cs="Times New Roman"/>
        </w:rPr>
        <w:t xml:space="preserve"> i in. (2019). Można również rozważyć, czy wyrażenie „fałszywe nadzieje, przesadny optymizm” rzeczywiście powinno być ujęte w postaci dwóch odrębnych fraz, skoro obie odnoszą się do tej samej zasadniczej idei.</w:t>
      </w:r>
    </w:p>
    <w:p w:rsidR="009637C4" w:rsidRPr="00267F8C" w:rsidRDefault="009637C4" w:rsidP="000A1B1B">
      <w:pPr>
        <w:rPr>
          <w:rFonts w:ascii="Times New Roman" w:hAnsi="Times New Roman" w:cs="Times New Roman"/>
        </w:rPr>
      </w:pPr>
      <w:r>
        <w:rPr>
          <w:rFonts w:ascii="Times New Roman" w:hAnsi="Times New Roman" w:cs="Times New Roman"/>
        </w:rPr>
        <w:t>---</w:t>
      </w:r>
    </w:p>
    <w:p w:rsidR="000A1B1B" w:rsidRPr="00267F8C" w:rsidRDefault="000A1B1B" w:rsidP="000A1B1B">
      <w:pPr>
        <w:rPr>
          <w:rFonts w:ascii="Times New Roman" w:hAnsi="Times New Roman" w:cs="Times New Roman"/>
        </w:rPr>
      </w:pPr>
    </w:p>
    <w:p w:rsidR="000A1B1B" w:rsidRPr="009637C4" w:rsidRDefault="000A1B1B" w:rsidP="000A1B1B">
      <w:pPr>
        <w:rPr>
          <w:rFonts w:ascii="Times New Roman" w:hAnsi="Times New Roman" w:cs="Times New Roman"/>
          <w:b/>
        </w:rPr>
      </w:pPr>
      <w:r w:rsidRPr="009637C4">
        <w:rPr>
          <w:rFonts w:ascii="Times New Roman" w:hAnsi="Times New Roman" w:cs="Times New Roman"/>
          <w:b/>
        </w:rPr>
        <w:t xml:space="preserve">22. Potencjalnie nieprecyzyjne ujęcie twierdzenia </w:t>
      </w:r>
      <w:proofErr w:type="spellStart"/>
      <w:r w:rsidRPr="009637C4">
        <w:rPr>
          <w:rFonts w:ascii="Times New Roman" w:hAnsi="Times New Roman" w:cs="Times New Roman"/>
          <w:b/>
        </w:rPr>
        <w:t>Heckschera</w:t>
      </w:r>
      <w:proofErr w:type="spellEnd"/>
      <w:r w:rsidRPr="009637C4">
        <w:rPr>
          <w:rFonts w:ascii="Times New Roman" w:hAnsi="Times New Roman" w:cs="Times New Roman"/>
          <w:b/>
        </w:rPr>
        <w:t>–</w:t>
      </w:r>
      <w:proofErr w:type="spellStart"/>
      <w:r w:rsidRPr="009637C4">
        <w:rPr>
          <w:rFonts w:ascii="Times New Roman" w:hAnsi="Times New Roman" w:cs="Times New Roman"/>
          <w:b/>
        </w:rPr>
        <w:t>Ohlina</w:t>
      </w:r>
      <w:proofErr w:type="spellEnd"/>
      <w:r w:rsidRPr="009637C4">
        <w:rPr>
          <w:rFonts w:ascii="Times New Roman" w:hAnsi="Times New Roman" w:cs="Times New Roman"/>
          <w:b/>
        </w:rPr>
        <w:t xml:space="preserve"> w sekcji 2.4</w:t>
      </w:r>
    </w:p>
    <w:p w:rsidR="000A1B1B" w:rsidRDefault="000A1B1B" w:rsidP="000A1B1B">
      <w:pPr>
        <w:rPr>
          <w:rFonts w:ascii="Times New Roman" w:hAnsi="Times New Roman" w:cs="Times New Roman"/>
        </w:rPr>
      </w:pPr>
      <w:r w:rsidRPr="009637C4">
        <w:rPr>
          <w:rFonts w:ascii="Times New Roman" w:hAnsi="Times New Roman" w:cs="Times New Roman"/>
          <w:b/>
        </w:rPr>
        <w:t>Cytat</w:t>
      </w:r>
      <w:r w:rsidRPr="00267F8C">
        <w:rPr>
          <w:rFonts w:ascii="Times New Roman" w:hAnsi="Times New Roman" w:cs="Times New Roman"/>
        </w:rPr>
        <w:t>: &gt; Jeżeli dobro wykorzystuje relatywnie duże ilości kapitału (tj. dobra pierwotne), wówczas kraje obficie wyposażone w zasoby naturalne będą miały przewagę komparatywną w produkcji tego dobra (</w:t>
      </w:r>
      <w:proofErr w:type="spellStart"/>
      <w:r w:rsidRPr="00267F8C">
        <w:rPr>
          <w:rFonts w:ascii="Times New Roman" w:hAnsi="Times New Roman" w:cs="Times New Roman"/>
        </w:rPr>
        <w:t>Leamer</w:t>
      </w:r>
      <w:proofErr w:type="spellEnd"/>
      <w:r w:rsidRPr="00267F8C">
        <w:rPr>
          <w:rFonts w:ascii="Times New Roman" w:hAnsi="Times New Roman" w:cs="Times New Roman"/>
        </w:rPr>
        <w:t>, 1995).</w:t>
      </w:r>
    </w:p>
    <w:p w:rsidR="009637C4" w:rsidRPr="00267F8C" w:rsidRDefault="009637C4" w:rsidP="000A1B1B">
      <w:pPr>
        <w:rPr>
          <w:rFonts w:ascii="Times New Roman" w:hAnsi="Times New Roman" w:cs="Times New Roman"/>
        </w:rPr>
      </w:pPr>
    </w:p>
    <w:p w:rsidR="000A1B1B" w:rsidRPr="00267F8C" w:rsidRDefault="000A1B1B" w:rsidP="000A1B1B">
      <w:pPr>
        <w:rPr>
          <w:rFonts w:ascii="Times New Roman" w:hAnsi="Times New Roman" w:cs="Times New Roman"/>
        </w:rPr>
      </w:pPr>
      <w:r w:rsidRPr="009637C4">
        <w:rPr>
          <w:rFonts w:ascii="Times New Roman" w:hAnsi="Times New Roman" w:cs="Times New Roman"/>
          <w:b/>
        </w:rPr>
        <w:t>Uwagi</w:t>
      </w:r>
      <w:r w:rsidRPr="00267F8C">
        <w:rPr>
          <w:rFonts w:ascii="Times New Roman" w:hAnsi="Times New Roman" w:cs="Times New Roman"/>
        </w:rPr>
        <w:t xml:space="preserve">: Początkowo trudność sprawił mi sposób, w jaki w tym zdaniu powiązano teorię </w:t>
      </w:r>
      <w:proofErr w:type="spellStart"/>
      <w:r w:rsidRPr="00267F8C">
        <w:rPr>
          <w:rFonts w:ascii="Times New Roman" w:hAnsi="Times New Roman" w:cs="Times New Roman"/>
        </w:rPr>
        <w:t>Heckschera</w:t>
      </w:r>
      <w:proofErr w:type="spellEnd"/>
      <w:r w:rsidRPr="00267F8C">
        <w:rPr>
          <w:rFonts w:ascii="Times New Roman" w:hAnsi="Times New Roman" w:cs="Times New Roman"/>
        </w:rPr>
        <w:t>–</w:t>
      </w:r>
      <w:proofErr w:type="spellStart"/>
      <w:r w:rsidRPr="00267F8C">
        <w:rPr>
          <w:rFonts w:ascii="Times New Roman" w:hAnsi="Times New Roman" w:cs="Times New Roman"/>
        </w:rPr>
        <w:t>Ohlina</w:t>
      </w:r>
      <w:proofErr w:type="spellEnd"/>
      <w:r w:rsidRPr="00267F8C">
        <w:rPr>
          <w:rFonts w:ascii="Times New Roman" w:hAnsi="Times New Roman" w:cs="Times New Roman"/>
        </w:rPr>
        <w:t xml:space="preserve"> z dobrami pierwotnymi. W obecnym brzmieniu można je odczytać tak, jakby mówiło, że jeśli dobro jest kapitałochłonne, to kraje obficie wyposażone w zasoby naturalne — a nie w kapitał — będą miały w nim przewagę komparatywną, a ponadto zdaje się ono utożsamiać „dobra kapitałochłonne” z „dobrami pierwotnymi”. W standardowym ujęciu modelu HO kapitał i zasoby naturalne (lub ziemia) są odrębnymi czynnikami produkcji, a przewaga komparatywna w danym dobru wynika z relatywnej obfitości tego czynnika, który jest intensywnie wykorzystywany w jego wytwarzaniu.</w:t>
      </w:r>
    </w:p>
    <w:p w:rsidR="000A1B1B" w:rsidRPr="00267F8C" w:rsidRDefault="000A1B1B" w:rsidP="000A1B1B">
      <w:pPr>
        <w:rPr>
          <w:rFonts w:ascii="Times New Roman" w:hAnsi="Times New Roman" w:cs="Times New Roman"/>
        </w:rPr>
      </w:pPr>
      <w:r w:rsidRPr="00267F8C">
        <w:rPr>
          <w:rFonts w:ascii="Times New Roman" w:hAnsi="Times New Roman" w:cs="Times New Roman"/>
        </w:rPr>
        <w:t xml:space="preserve">Z tego względu obecne sformułowanie może sugerować, że sama obfitość zasobów wyjaśnia specjalizację w działalnościach kapitałochłonnych, czego teoria HO nie implikuje, oraz nadmiernie utożsamia dobra „kapitałochłonne” z dobrami „pierwotnymi”. Doprecyzowanie ról kapitału i zasobów naturalnych w tym zdaniu oraz unikanie pozornej równoważności między kapitałochłonnością a dobrami pierwotnymi uczyniłoby odniesienie teoretyczne </w:t>
      </w:r>
      <w:r w:rsidRPr="00267F8C">
        <w:rPr>
          <w:rFonts w:ascii="Times New Roman" w:hAnsi="Times New Roman" w:cs="Times New Roman"/>
        </w:rPr>
        <w:lastRenderedPageBreak/>
        <w:t>trafniejszym i zapobiegłoby błędnej interpretacji, bez naruszania szerszej narracji o wyposażeniu czynnikowym i specjalizacji.</w:t>
      </w:r>
    </w:p>
    <w:p w:rsidR="000A1B1B" w:rsidRDefault="000A1B1B" w:rsidP="000A1B1B">
      <w:pPr>
        <w:rPr>
          <w:rFonts w:ascii="Times New Roman" w:hAnsi="Times New Roman" w:cs="Times New Roman"/>
        </w:rPr>
      </w:pPr>
    </w:p>
    <w:p w:rsidR="009637C4" w:rsidRPr="00267F8C" w:rsidRDefault="009637C4" w:rsidP="000A1B1B">
      <w:pPr>
        <w:rPr>
          <w:rFonts w:ascii="Times New Roman" w:hAnsi="Times New Roman" w:cs="Times New Roman"/>
        </w:rPr>
      </w:pPr>
      <w:r>
        <w:rPr>
          <w:rFonts w:ascii="Times New Roman" w:hAnsi="Times New Roman" w:cs="Times New Roman"/>
        </w:rPr>
        <w:t>---</w:t>
      </w:r>
    </w:p>
    <w:p w:rsidR="000A1B1B" w:rsidRPr="009637C4" w:rsidRDefault="000A1B1B" w:rsidP="000A1B1B">
      <w:pPr>
        <w:rPr>
          <w:rFonts w:ascii="Times New Roman" w:hAnsi="Times New Roman" w:cs="Times New Roman"/>
          <w:b/>
        </w:rPr>
      </w:pPr>
      <w:r w:rsidRPr="009637C4">
        <w:rPr>
          <w:rFonts w:ascii="Times New Roman" w:hAnsi="Times New Roman" w:cs="Times New Roman"/>
          <w:b/>
        </w:rPr>
        <w:t>23. Sprzeczny opis „krzywej dywersyfikacji” w sekcji 2.4</w:t>
      </w:r>
    </w:p>
    <w:p w:rsidR="000A1B1B" w:rsidRDefault="000A1B1B" w:rsidP="000A1B1B">
      <w:pPr>
        <w:rPr>
          <w:rFonts w:ascii="Times New Roman" w:hAnsi="Times New Roman" w:cs="Times New Roman"/>
        </w:rPr>
      </w:pPr>
      <w:r w:rsidRPr="009637C4">
        <w:rPr>
          <w:rFonts w:ascii="Times New Roman" w:hAnsi="Times New Roman" w:cs="Times New Roman"/>
          <w:b/>
        </w:rPr>
        <w:t>Cytat:</w:t>
      </w:r>
      <w:r w:rsidRPr="00267F8C">
        <w:rPr>
          <w:rFonts w:ascii="Times New Roman" w:hAnsi="Times New Roman" w:cs="Times New Roman"/>
        </w:rPr>
        <w:t xml:space="preserve"> &gt; Następnie, wraz ze wzrostem dochodu per capita, przechodzą one proces dywersyfikacji. Przesuwają się w kierunku dóbr przemysłowych o różnym poziomie zaawansowania, a ich struktury eksportu ostatecznie stają się bardziej heterogeniczne, składając się głównie z produktów zaawansowanych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 Niektórzy badacze postulowali również nieliniową zależność oraz ponowną specjalizację na wysokich poziomach rozwoju (</w:t>
      </w:r>
      <w:proofErr w:type="spellStart"/>
      <w:r w:rsidRPr="00267F8C">
        <w:rPr>
          <w:rFonts w:ascii="Times New Roman" w:hAnsi="Times New Roman" w:cs="Times New Roman"/>
        </w:rPr>
        <w:t>Imbs</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Wacziarg</w:t>
      </w:r>
      <w:proofErr w:type="spellEnd"/>
      <w:r w:rsidRPr="00267F8C">
        <w:rPr>
          <w:rFonts w:ascii="Times New Roman" w:hAnsi="Times New Roman" w:cs="Times New Roman"/>
        </w:rPr>
        <w:t xml:space="preserve">, 2003;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Jednak koncepcja ta jest kwestionowana.</w:t>
      </w:r>
    </w:p>
    <w:p w:rsidR="005308B6" w:rsidRPr="00267F8C" w:rsidRDefault="005308B6" w:rsidP="000A1B1B">
      <w:pPr>
        <w:rPr>
          <w:rFonts w:ascii="Times New Roman" w:hAnsi="Times New Roman" w:cs="Times New Roman"/>
        </w:rPr>
      </w:pPr>
    </w:p>
    <w:p w:rsidR="000A1B1B" w:rsidRPr="00267F8C" w:rsidRDefault="000A1B1B" w:rsidP="000A1B1B">
      <w:pPr>
        <w:rPr>
          <w:rFonts w:ascii="Times New Roman" w:hAnsi="Times New Roman" w:cs="Times New Roman"/>
        </w:rPr>
      </w:pPr>
      <w:r w:rsidRPr="005308B6">
        <w:rPr>
          <w:rFonts w:ascii="Times New Roman" w:hAnsi="Times New Roman" w:cs="Times New Roman"/>
          <w:b/>
        </w:rPr>
        <w:t>Uwagi</w:t>
      </w:r>
      <w:r w:rsidRPr="00267F8C">
        <w:rPr>
          <w:rFonts w:ascii="Times New Roman" w:hAnsi="Times New Roman" w:cs="Times New Roman"/>
        </w:rPr>
        <w:t>: Opis „etapów dywersyfikacji” oraz krzywej dywersyfikacji w sekcji 2.4 jest potencjalnie mylący i wewnętrznie niespójny.</w:t>
      </w:r>
    </w:p>
    <w:p w:rsidR="005308B6" w:rsidRDefault="000A1B1B" w:rsidP="000A1B1B">
      <w:pPr>
        <w:rPr>
          <w:rFonts w:ascii="Times New Roman" w:hAnsi="Times New Roman" w:cs="Times New Roman"/>
        </w:rPr>
      </w:pPr>
      <w:r w:rsidRPr="00267F8C">
        <w:rPr>
          <w:rFonts w:ascii="Times New Roman" w:hAnsi="Times New Roman" w:cs="Times New Roman"/>
        </w:rPr>
        <w:t>W pierwszej części fragment stwierdza, że wraz ze wzrostem dochodu kraje „przechodzą proces dywersyfikacji” i „ostatecznie stają się bardziej heterogeniczne, składając się głównie z produktów zaawansowanych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Odczytuje się to jako monotoniczną opowieść, w której heterogeniczność eksportu stale wzrasta i pozostaje wysoka na zaawansowanych etapach rozwoju. Bezpośrednio potem tekst stwierdza jednak, że „niektórzy badacze postulowali również nieliniową zależność oraz ponowną specjalizację na wysokich poziomach rozwoju (</w:t>
      </w:r>
      <w:proofErr w:type="spellStart"/>
      <w:r w:rsidRPr="00267F8C">
        <w:rPr>
          <w:rFonts w:ascii="Times New Roman" w:hAnsi="Times New Roman" w:cs="Times New Roman"/>
        </w:rPr>
        <w:t>Imbs</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Wacziarg</w:t>
      </w:r>
      <w:proofErr w:type="spellEnd"/>
      <w:r w:rsidRPr="00267F8C">
        <w:rPr>
          <w:rFonts w:ascii="Times New Roman" w:hAnsi="Times New Roman" w:cs="Times New Roman"/>
        </w:rPr>
        <w:t xml:space="preserve">, 2003;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Jednak ko</w:t>
      </w:r>
      <w:r w:rsidR="005308B6">
        <w:rPr>
          <w:rFonts w:ascii="Times New Roman" w:hAnsi="Times New Roman" w:cs="Times New Roman"/>
        </w:rPr>
        <w:t>ncepcja ta jest kwestionowana”.</w:t>
      </w:r>
    </w:p>
    <w:p w:rsidR="000A1B1B" w:rsidRDefault="000A1B1B" w:rsidP="000A1B1B">
      <w:pPr>
        <w:rPr>
          <w:rFonts w:ascii="Times New Roman" w:hAnsi="Times New Roman" w:cs="Times New Roman"/>
        </w:rPr>
      </w:pPr>
      <w:r w:rsidRPr="00267F8C">
        <w:rPr>
          <w:rFonts w:ascii="Times New Roman" w:hAnsi="Times New Roman" w:cs="Times New Roman"/>
        </w:rPr>
        <w:t>Tymczasem w podstawowej literaturze dotyczącej dywersyfikacji termin „etapy dywersyfikacji” (</w:t>
      </w:r>
      <w:proofErr w:type="spellStart"/>
      <w:r w:rsidRPr="00267F8C">
        <w:rPr>
          <w:rFonts w:ascii="Times New Roman" w:hAnsi="Times New Roman" w:cs="Times New Roman"/>
        </w:rPr>
        <w:t>Imbs</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Wacziarg</w:t>
      </w:r>
      <w:proofErr w:type="spellEnd"/>
      <w:r w:rsidRPr="00267F8C">
        <w:rPr>
          <w:rFonts w:ascii="Times New Roman" w:hAnsi="Times New Roman" w:cs="Times New Roman"/>
        </w:rPr>
        <w:t xml:space="preserve">, 2003) oraz kluczowy wynik pracy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odnoszą się właśnie do niemonotonicznego wzorca o kształcie odwróconej litery U: kraje najpierw się dywersyfikują, a następnie na wysokich poziomach rozwoju ponownie się specjalizują. Kontrowersje w późniejszych badaniach (np. De </w:t>
      </w:r>
      <w:proofErr w:type="spellStart"/>
      <w:r w:rsidRPr="00267F8C">
        <w:rPr>
          <w:rFonts w:ascii="Times New Roman" w:hAnsi="Times New Roman" w:cs="Times New Roman"/>
        </w:rPr>
        <w:t>Benedictis</w:t>
      </w:r>
      <w:proofErr w:type="spellEnd"/>
      <w:r w:rsidRPr="00267F8C">
        <w:rPr>
          <w:rFonts w:ascii="Times New Roman" w:hAnsi="Times New Roman" w:cs="Times New Roman"/>
        </w:rPr>
        <w:t xml:space="preserve"> i in., Parteka i </w:t>
      </w:r>
      <w:proofErr w:type="spellStart"/>
      <w:r w:rsidRPr="00267F8C">
        <w:rPr>
          <w:rFonts w:ascii="Times New Roman" w:hAnsi="Times New Roman" w:cs="Times New Roman"/>
        </w:rPr>
        <w:t>Tamberi</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Mau</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Gnidchenko</w:t>
      </w:r>
      <w:proofErr w:type="spellEnd"/>
      <w:r w:rsidRPr="00267F8C">
        <w:rPr>
          <w:rFonts w:ascii="Times New Roman" w:hAnsi="Times New Roman" w:cs="Times New Roman"/>
        </w:rPr>
        <w:t>) dotyczą obecności i siły fazy ponownej specjalizacji, a nie tego, czy nieliniowość stanowi dodatkową, odrębną od monotonicznej wizji „etapów” hipotezę.</w:t>
      </w:r>
    </w:p>
    <w:p w:rsidR="005308B6" w:rsidRPr="00267F8C" w:rsidRDefault="005308B6" w:rsidP="000A1B1B">
      <w:pPr>
        <w:rPr>
          <w:rFonts w:ascii="Times New Roman" w:hAnsi="Times New Roman" w:cs="Times New Roman"/>
        </w:rPr>
      </w:pPr>
    </w:p>
    <w:p w:rsidR="000A1B1B" w:rsidRPr="00267F8C" w:rsidRDefault="000A1B1B" w:rsidP="000A1B1B">
      <w:pPr>
        <w:rPr>
          <w:rFonts w:ascii="Times New Roman" w:hAnsi="Times New Roman" w:cs="Times New Roman"/>
        </w:rPr>
      </w:pPr>
      <w:r w:rsidRPr="00267F8C">
        <w:rPr>
          <w:rFonts w:ascii="Times New Roman" w:hAnsi="Times New Roman" w:cs="Times New Roman"/>
        </w:rPr>
        <w:t xml:space="preserve">W obecnym brzmieniu sekcja przypisuje zatem pracy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dwie częściowo sprzeczne narracje (czysto dywersyfikujący „końcowy” etap versus krzywa o kształcie garbu z ponowną specjalizacją) i traktuje interpretację o kształcie odwróconej litery U jako dodatkową, sporną hipotezę, zamiast jako standardowe ujęcie koncepcji „etapów dywersyfikacji”. Jest to mylące, zwłaszcza że późniejsze rozdziały empiryczne rozprawy przyjmują i estymują właśnie krzywą dywersyfikacji o takim kształcie.</w:t>
      </w:r>
    </w:p>
    <w:p w:rsidR="005308B6" w:rsidRDefault="000A1B1B" w:rsidP="005308B6">
      <w:pPr>
        <w:pBdr>
          <w:bottom w:val="single" w:sz="6" w:space="1" w:color="auto"/>
        </w:pBdr>
        <w:rPr>
          <w:rFonts w:ascii="Times New Roman" w:hAnsi="Times New Roman" w:cs="Times New Roman"/>
        </w:rPr>
      </w:pPr>
      <w:r w:rsidRPr="00267F8C">
        <w:rPr>
          <w:rFonts w:ascii="Times New Roman" w:hAnsi="Times New Roman" w:cs="Times New Roman"/>
        </w:rPr>
        <w:t xml:space="preserve">Pomocne byłoby zrewidowanie tej części sekcji 2.4 w celu: (i) jednoznacznego zdefiniowania krzywej dywersyfikacji jako mającej zazwyczaj kształt odwróconej litery U w głównych ujęciach literaturowych, (ii) wyjaśnienia, że segment ponownej specjalizacji jest przedmiotem sporów empirycznych, oraz (iii) dostosowania </w:t>
      </w:r>
      <w:proofErr w:type="spellStart"/>
      <w:r w:rsidRPr="00267F8C">
        <w:rPr>
          <w:rFonts w:ascii="Times New Roman" w:hAnsi="Times New Roman" w:cs="Times New Roman"/>
        </w:rPr>
        <w:t>odwołań</w:t>
      </w:r>
      <w:proofErr w:type="spellEnd"/>
      <w:r w:rsidRPr="00267F8C">
        <w:rPr>
          <w:rFonts w:ascii="Times New Roman" w:hAnsi="Times New Roman" w:cs="Times New Roman"/>
        </w:rPr>
        <w:t xml:space="preserve"> do prac </w:t>
      </w:r>
      <w:proofErr w:type="spellStart"/>
      <w:r w:rsidRPr="00267F8C">
        <w:rPr>
          <w:rFonts w:ascii="Times New Roman" w:hAnsi="Times New Roman" w:cs="Times New Roman"/>
        </w:rPr>
        <w:t>Imbsa</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Wacziarga</w:t>
      </w:r>
      <w:proofErr w:type="spellEnd"/>
      <w:r w:rsidRPr="00267F8C">
        <w:rPr>
          <w:rFonts w:ascii="Times New Roman" w:hAnsi="Times New Roman" w:cs="Times New Roman"/>
        </w:rPr>
        <w:t xml:space="preserve"> (2003) oraz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do tego standardowego ujęcia.</w:t>
      </w:r>
    </w:p>
    <w:p w:rsidR="005308B6" w:rsidRDefault="005308B6" w:rsidP="005308B6">
      <w:pPr>
        <w:pBdr>
          <w:bottom w:val="single" w:sz="6" w:space="1" w:color="auto"/>
        </w:pBdr>
        <w:rPr>
          <w:rFonts w:ascii="Times New Roman" w:hAnsi="Times New Roman" w:cs="Times New Roman"/>
        </w:rPr>
      </w:pPr>
    </w:p>
    <w:p w:rsidR="000A1B1B" w:rsidRPr="005308B6" w:rsidRDefault="005308B6" w:rsidP="000A1B1B">
      <w:pPr>
        <w:rPr>
          <w:rFonts w:ascii="Times New Roman" w:hAnsi="Times New Roman" w:cs="Times New Roman"/>
          <w:b/>
        </w:rPr>
      </w:pPr>
      <w:r w:rsidRPr="005308B6">
        <w:rPr>
          <w:rFonts w:ascii="Times New Roman" w:hAnsi="Times New Roman" w:cs="Times New Roman"/>
          <w:b/>
        </w:rPr>
        <w:t>2</w:t>
      </w:r>
      <w:r w:rsidR="000A1B1B" w:rsidRPr="005308B6">
        <w:rPr>
          <w:rFonts w:ascii="Times New Roman" w:hAnsi="Times New Roman" w:cs="Times New Roman"/>
          <w:b/>
        </w:rPr>
        <w:t xml:space="preserve">4. Doprecyzowanie dekompozycji </w:t>
      </w:r>
      <w:proofErr w:type="spellStart"/>
      <w:r w:rsidR="000A1B1B" w:rsidRPr="005308B6">
        <w:rPr>
          <w:rFonts w:ascii="Times New Roman" w:hAnsi="Times New Roman" w:cs="Times New Roman"/>
          <w:b/>
        </w:rPr>
        <w:t>Theila</w:t>
      </w:r>
      <w:proofErr w:type="spellEnd"/>
      <w:r w:rsidR="000A1B1B" w:rsidRPr="005308B6">
        <w:rPr>
          <w:rFonts w:ascii="Times New Roman" w:hAnsi="Times New Roman" w:cs="Times New Roman"/>
          <w:b/>
        </w:rPr>
        <w:t xml:space="preserve"> „</w:t>
      </w:r>
      <w:proofErr w:type="spellStart"/>
      <w:r w:rsidR="000A1B1B" w:rsidRPr="005308B6">
        <w:rPr>
          <w:rFonts w:ascii="Times New Roman" w:hAnsi="Times New Roman" w:cs="Times New Roman"/>
          <w:b/>
        </w:rPr>
        <w:t>between</w:t>
      </w:r>
      <w:proofErr w:type="spellEnd"/>
      <w:r w:rsidR="000A1B1B" w:rsidRPr="005308B6">
        <w:rPr>
          <w:rFonts w:ascii="Times New Roman" w:hAnsi="Times New Roman" w:cs="Times New Roman"/>
          <w:b/>
        </w:rPr>
        <w:t>/</w:t>
      </w:r>
      <w:proofErr w:type="spellStart"/>
      <w:r w:rsidR="000A1B1B" w:rsidRPr="005308B6">
        <w:rPr>
          <w:rFonts w:ascii="Times New Roman" w:hAnsi="Times New Roman" w:cs="Times New Roman"/>
          <w:b/>
        </w:rPr>
        <w:t>within</w:t>
      </w:r>
      <w:proofErr w:type="spellEnd"/>
      <w:r w:rsidR="000A1B1B" w:rsidRPr="005308B6">
        <w:rPr>
          <w:rFonts w:ascii="Times New Roman" w:hAnsi="Times New Roman" w:cs="Times New Roman"/>
          <w:b/>
        </w:rPr>
        <w:t>”</w:t>
      </w:r>
    </w:p>
    <w:p w:rsidR="000A1B1B" w:rsidRDefault="000A1B1B" w:rsidP="000A1B1B">
      <w:pPr>
        <w:rPr>
          <w:rFonts w:ascii="Times New Roman" w:hAnsi="Times New Roman" w:cs="Times New Roman"/>
        </w:rPr>
      </w:pPr>
      <w:r w:rsidRPr="005308B6">
        <w:rPr>
          <w:rFonts w:ascii="Times New Roman" w:hAnsi="Times New Roman" w:cs="Times New Roman"/>
          <w:b/>
        </w:rPr>
        <w:t>Cytat:</w:t>
      </w:r>
      <w:r w:rsidRPr="00267F8C">
        <w:rPr>
          <w:rFonts w:ascii="Times New Roman" w:hAnsi="Times New Roman" w:cs="Times New Roman"/>
        </w:rPr>
        <w:t xml:space="preserve"> &gt;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zaproponowali dekompozycję absolutnego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na komponenty „</w:t>
      </w:r>
      <w:proofErr w:type="spellStart"/>
      <w:r w:rsidRPr="00267F8C">
        <w:rPr>
          <w:rFonts w:ascii="Times New Roman" w:hAnsi="Times New Roman" w:cs="Times New Roman"/>
        </w:rPr>
        <w:t>between</w:t>
      </w:r>
      <w:proofErr w:type="spellEnd"/>
      <w:r w:rsidRPr="00267F8C">
        <w:rPr>
          <w:rFonts w:ascii="Times New Roman" w:hAnsi="Times New Roman" w:cs="Times New Roman"/>
        </w:rPr>
        <w:t>” i „</w:t>
      </w:r>
      <w:proofErr w:type="spellStart"/>
      <w:r w:rsidRPr="00267F8C">
        <w:rPr>
          <w:rFonts w:ascii="Times New Roman" w:hAnsi="Times New Roman" w:cs="Times New Roman"/>
        </w:rPr>
        <w:t>within</w:t>
      </w:r>
      <w:proofErr w:type="spellEnd"/>
      <w:r w:rsidRPr="00267F8C">
        <w:rPr>
          <w:rFonts w:ascii="Times New Roman" w:hAnsi="Times New Roman" w:cs="Times New Roman"/>
        </w:rPr>
        <w:t xml:space="preserve">” (określane również jako ekstensywny i intensywny margines eksportu, jak u </w:t>
      </w:r>
      <w:proofErr w:type="spellStart"/>
      <w:r w:rsidRPr="00267F8C">
        <w:rPr>
          <w:rFonts w:ascii="Times New Roman" w:hAnsi="Times New Roman" w:cs="Times New Roman"/>
        </w:rPr>
        <w:t>Hummelsa</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Klenowa</w:t>
      </w:r>
      <w:proofErr w:type="spellEnd"/>
      <w:r w:rsidRPr="00267F8C">
        <w:rPr>
          <w:rFonts w:ascii="Times New Roman" w:hAnsi="Times New Roman" w:cs="Times New Roman"/>
        </w:rPr>
        <w:t xml:space="preserve"> (2005)), poprzez podział linii eksportowych na aktywne i nieaktywne.</w:t>
      </w:r>
    </w:p>
    <w:p w:rsidR="005308B6" w:rsidRPr="00267F8C" w:rsidRDefault="005308B6" w:rsidP="000A1B1B">
      <w:pPr>
        <w:rPr>
          <w:rFonts w:ascii="Times New Roman" w:hAnsi="Times New Roman" w:cs="Times New Roman"/>
        </w:rPr>
      </w:pPr>
    </w:p>
    <w:p w:rsidR="000A1B1B" w:rsidRDefault="000A1B1B" w:rsidP="000A1B1B">
      <w:pPr>
        <w:rPr>
          <w:rFonts w:ascii="Times New Roman" w:hAnsi="Times New Roman" w:cs="Times New Roman"/>
        </w:rPr>
      </w:pPr>
      <w:r w:rsidRPr="005308B6">
        <w:rPr>
          <w:rFonts w:ascii="Times New Roman" w:hAnsi="Times New Roman" w:cs="Times New Roman"/>
          <w:b/>
        </w:rPr>
        <w:lastRenderedPageBreak/>
        <w:t>Uwagi:</w:t>
      </w:r>
      <w:r w:rsidRPr="00267F8C">
        <w:rPr>
          <w:rFonts w:ascii="Times New Roman" w:hAnsi="Times New Roman" w:cs="Times New Roman"/>
        </w:rPr>
        <w:t xml:space="preserve"> Początkowo wcześniejsza dyskusja pracy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opisująca ich komponenty „</w:t>
      </w:r>
      <w:proofErr w:type="spellStart"/>
      <w:r w:rsidRPr="00267F8C">
        <w:rPr>
          <w:rFonts w:ascii="Times New Roman" w:hAnsi="Times New Roman" w:cs="Times New Roman"/>
        </w:rPr>
        <w:t>between</w:t>
      </w:r>
      <w:proofErr w:type="spellEnd"/>
      <w:r w:rsidRPr="00267F8C">
        <w:rPr>
          <w:rFonts w:ascii="Times New Roman" w:hAnsi="Times New Roman" w:cs="Times New Roman"/>
        </w:rPr>
        <w:t>” i „</w:t>
      </w:r>
      <w:proofErr w:type="spellStart"/>
      <w:r w:rsidRPr="00267F8C">
        <w:rPr>
          <w:rFonts w:ascii="Times New Roman" w:hAnsi="Times New Roman" w:cs="Times New Roman"/>
        </w:rPr>
        <w:t>within</w:t>
      </w:r>
      <w:proofErr w:type="spellEnd"/>
      <w:r w:rsidRPr="00267F8C">
        <w:rPr>
          <w:rFonts w:ascii="Times New Roman" w:hAnsi="Times New Roman" w:cs="Times New Roman"/>
        </w:rPr>
        <w:t>” jako odpowiadające marginesowi ekstensywnemu i intensywnemu, sprawiła, że sądziłem, iż „</w:t>
      </w:r>
      <w:proofErr w:type="spellStart"/>
      <w:r w:rsidRPr="00267F8C">
        <w:rPr>
          <w:rFonts w:ascii="Times New Roman" w:hAnsi="Times New Roman" w:cs="Times New Roman"/>
        </w:rPr>
        <w:t>between</w:t>
      </w:r>
      <w:proofErr w:type="spellEnd"/>
      <w:r w:rsidRPr="00267F8C">
        <w:rPr>
          <w:rFonts w:ascii="Times New Roman" w:hAnsi="Times New Roman" w:cs="Times New Roman"/>
        </w:rPr>
        <w:t xml:space="preserve">” będzie w dalszej części tekstu zawsze interpretowane jako odnoszące się do marginesu ekstensywnego. Następnie zrozumiałem, na podstawie równań (4)–(6) oraz towarzyszącego im opisu w sekcji 3.4, że </w:t>
      </w:r>
      <w:r w:rsidR="005308B6">
        <w:rPr>
          <w:rFonts w:ascii="Times New Roman" w:hAnsi="Times New Roman" w:cs="Times New Roman"/>
        </w:rPr>
        <w:t>tutaj</w:t>
      </w:r>
      <w:r w:rsidRPr="00267F8C">
        <w:rPr>
          <w:rFonts w:ascii="Times New Roman" w:hAnsi="Times New Roman" w:cs="Times New Roman"/>
        </w:rPr>
        <w:t xml:space="preserve"> własna dekompozycja ma odmienny charakter: składnik „</w:t>
      </w:r>
      <w:proofErr w:type="spellStart"/>
      <w:r w:rsidRPr="00267F8C">
        <w:rPr>
          <w:rFonts w:ascii="Times New Roman" w:hAnsi="Times New Roman" w:cs="Times New Roman"/>
        </w:rPr>
        <w:t>between</w:t>
      </w:r>
      <w:proofErr w:type="spellEnd"/>
      <w:r w:rsidRPr="00267F8C">
        <w:rPr>
          <w:rFonts w:ascii="Times New Roman" w:hAnsi="Times New Roman" w:cs="Times New Roman"/>
        </w:rPr>
        <w:t>” odzwierciedla nierówność pomiędzy z góry zdefiniowanymi grupami produktów (np. zasoby vs. produkty niezwiązane z zasobami), natomiast składniki „</w:t>
      </w:r>
      <w:proofErr w:type="spellStart"/>
      <w:r w:rsidRPr="00267F8C">
        <w:rPr>
          <w:rFonts w:ascii="Times New Roman" w:hAnsi="Times New Roman" w:cs="Times New Roman"/>
        </w:rPr>
        <w:t>within</w:t>
      </w:r>
      <w:proofErr w:type="spellEnd"/>
      <w:r w:rsidRPr="00267F8C">
        <w:rPr>
          <w:rFonts w:ascii="Times New Roman" w:hAnsi="Times New Roman" w:cs="Times New Roman"/>
        </w:rPr>
        <w:t>” ujmują nierówność wewnątrz każdej grupy.</w:t>
      </w:r>
    </w:p>
    <w:p w:rsidR="005308B6" w:rsidRPr="00267F8C" w:rsidRDefault="005308B6" w:rsidP="000A1B1B">
      <w:pPr>
        <w:rPr>
          <w:rFonts w:ascii="Times New Roman" w:hAnsi="Times New Roman" w:cs="Times New Roman"/>
        </w:rPr>
      </w:pPr>
    </w:p>
    <w:p w:rsidR="000A1B1B" w:rsidRPr="00267F8C" w:rsidRDefault="000A1B1B" w:rsidP="000A1B1B">
      <w:pPr>
        <w:rPr>
          <w:rFonts w:ascii="Times New Roman" w:hAnsi="Times New Roman" w:cs="Times New Roman"/>
        </w:rPr>
      </w:pPr>
      <w:r w:rsidRPr="00267F8C">
        <w:rPr>
          <w:rFonts w:ascii="Times New Roman" w:hAnsi="Times New Roman" w:cs="Times New Roman"/>
        </w:rPr>
        <w:t>Ponieważ „</w:t>
      </w:r>
      <w:proofErr w:type="spellStart"/>
      <w:r w:rsidRPr="00267F8C">
        <w:rPr>
          <w:rFonts w:ascii="Times New Roman" w:hAnsi="Times New Roman" w:cs="Times New Roman"/>
        </w:rPr>
        <w:t>between</w:t>
      </w:r>
      <w:proofErr w:type="spellEnd"/>
      <w:r w:rsidRPr="00267F8C">
        <w:rPr>
          <w:rFonts w:ascii="Times New Roman" w:hAnsi="Times New Roman" w:cs="Times New Roman"/>
        </w:rPr>
        <w:t>/</w:t>
      </w:r>
      <w:proofErr w:type="spellStart"/>
      <w:r w:rsidRPr="00267F8C">
        <w:rPr>
          <w:rFonts w:ascii="Times New Roman" w:hAnsi="Times New Roman" w:cs="Times New Roman"/>
        </w:rPr>
        <w:t>within</w:t>
      </w:r>
      <w:proofErr w:type="spellEnd"/>
      <w:r w:rsidRPr="00267F8C">
        <w:rPr>
          <w:rFonts w:ascii="Times New Roman" w:hAnsi="Times New Roman" w:cs="Times New Roman"/>
        </w:rPr>
        <w:t>” są standardowymi, ogólnymi etykietami stosowanymi w analizach dekompozycyjnych, nie stanowi to problemu konceptualnego, a wzory i wyjaśnienia słowne przedstawione w sekcjach 3.4 i 5.1 są poprawne. Mimo to warto rozważyć dodanie krótkiego zdania przy wprowadzaniu własnej dekompozycji (lub na początku sekcji 5.1), przypominającego czytelnikowi, że stosowana tutaj terminologia „</w:t>
      </w:r>
      <w:proofErr w:type="spellStart"/>
      <w:r w:rsidRPr="00267F8C">
        <w:rPr>
          <w:rFonts w:ascii="Times New Roman" w:hAnsi="Times New Roman" w:cs="Times New Roman"/>
        </w:rPr>
        <w:t>between</w:t>
      </w:r>
      <w:proofErr w:type="spellEnd"/>
      <w:r w:rsidRPr="00267F8C">
        <w:rPr>
          <w:rFonts w:ascii="Times New Roman" w:hAnsi="Times New Roman" w:cs="Times New Roman"/>
        </w:rPr>
        <w:t>/</w:t>
      </w:r>
      <w:proofErr w:type="spellStart"/>
      <w:r w:rsidRPr="00267F8C">
        <w:rPr>
          <w:rFonts w:ascii="Times New Roman" w:hAnsi="Times New Roman" w:cs="Times New Roman"/>
        </w:rPr>
        <w:t>within</w:t>
      </w:r>
      <w:proofErr w:type="spellEnd"/>
      <w:r w:rsidRPr="00267F8C">
        <w:rPr>
          <w:rFonts w:ascii="Times New Roman" w:hAnsi="Times New Roman" w:cs="Times New Roman"/>
        </w:rPr>
        <w:t xml:space="preserve">” odnosi się do dekompozycji opartej na grupach i różni się od dekompozycji marginesu ekstensywnego i intensywnego autorstwa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omówionej wcześniej.</w:t>
      </w:r>
    </w:p>
    <w:p w:rsidR="000A1B1B" w:rsidRDefault="005308B6" w:rsidP="000A1B1B">
      <w:pPr>
        <w:rPr>
          <w:rFonts w:ascii="Times New Roman" w:hAnsi="Times New Roman" w:cs="Times New Roman"/>
        </w:rPr>
      </w:pPr>
      <w:r>
        <w:rPr>
          <w:rFonts w:ascii="Times New Roman" w:hAnsi="Times New Roman" w:cs="Times New Roman"/>
        </w:rPr>
        <w:t>---</w:t>
      </w:r>
    </w:p>
    <w:p w:rsidR="005308B6" w:rsidRPr="00267F8C" w:rsidRDefault="005308B6" w:rsidP="000A1B1B">
      <w:pPr>
        <w:rPr>
          <w:rFonts w:ascii="Times New Roman" w:hAnsi="Times New Roman" w:cs="Times New Roman"/>
        </w:rPr>
      </w:pPr>
    </w:p>
    <w:p w:rsidR="000A1B1B" w:rsidRPr="005308B6" w:rsidRDefault="000A1B1B" w:rsidP="000A1B1B">
      <w:pPr>
        <w:rPr>
          <w:rFonts w:ascii="Times New Roman" w:hAnsi="Times New Roman" w:cs="Times New Roman"/>
          <w:b/>
        </w:rPr>
      </w:pPr>
      <w:r w:rsidRPr="005308B6">
        <w:rPr>
          <w:rFonts w:ascii="Times New Roman" w:hAnsi="Times New Roman" w:cs="Times New Roman"/>
          <w:b/>
        </w:rPr>
        <w:t>25. Doprecyzowanie nowości głównych zmiennych objaśniających</w:t>
      </w:r>
    </w:p>
    <w:p w:rsidR="000A1B1B" w:rsidRDefault="000A1B1B" w:rsidP="000A1B1B">
      <w:pPr>
        <w:rPr>
          <w:rFonts w:ascii="Times New Roman" w:hAnsi="Times New Roman" w:cs="Times New Roman"/>
        </w:rPr>
      </w:pPr>
      <w:r w:rsidRPr="005308B6">
        <w:rPr>
          <w:rFonts w:ascii="Times New Roman" w:hAnsi="Times New Roman" w:cs="Times New Roman"/>
          <w:b/>
        </w:rPr>
        <w:t>Cytat</w:t>
      </w:r>
      <w:r w:rsidRPr="00267F8C">
        <w:rPr>
          <w:rFonts w:ascii="Times New Roman" w:hAnsi="Times New Roman" w:cs="Times New Roman"/>
        </w:rPr>
        <w:t xml:space="preserve">: &gt; Niniejsza rozprawa przyjmuje odmienne podejście, w którym kluczowe zmienne objaśniające są konstruowane z wykorzystaniem surowych, </w:t>
      </w:r>
      <w:proofErr w:type="spellStart"/>
      <w:r w:rsidRPr="00267F8C">
        <w:rPr>
          <w:rFonts w:ascii="Times New Roman" w:hAnsi="Times New Roman" w:cs="Times New Roman"/>
        </w:rPr>
        <w:t>zdezagregowanych</w:t>
      </w:r>
      <w:proofErr w:type="spellEnd"/>
      <w:r w:rsidRPr="00267F8C">
        <w:rPr>
          <w:rFonts w:ascii="Times New Roman" w:hAnsi="Times New Roman" w:cs="Times New Roman"/>
        </w:rPr>
        <w:t xml:space="preserve"> danych eksportowych oraz nowo opracowanych klasyfikacji na poziomie produktów. Zmienne te obejmują zależność od zasobów naturalnych, przybliżoną udziałem zasobów naturalnych w całkowitym eksporcie kraju, oraz specjalizację technologiczną, przybliżoną udziałem produktów zaawansowanych technologicznie w całkowitym eksporcie kraju.</w:t>
      </w:r>
    </w:p>
    <w:p w:rsidR="005308B6" w:rsidRPr="00267F8C" w:rsidRDefault="005308B6" w:rsidP="000A1B1B">
      <w:pPr>
        <w:rPr>
          <w:rFonts w:ascii="Times New Roman" w:hAnsi="Times New Roman" w:cs="Times New Roman"/>
        </w:rPr>
      </w:pPr>
    </w:p>
    <w:p w:rsidR="000A1B1B" w:rsidRDefault="000A1B1B" w:rsidP="000A1B1B">
      <w:pPr>
        <w:rPr>
          <w:rFonts w:ascii="Times New Roman" w:hAnsi="Times New Roman" w:cs="Times New Roman"/>
        </w:rPr>
      </w:pPr>
      <w:r w:rsidRPr="005308B6">
        <w:rPr>
          <w:rFonts w:ascii="Times New Roman" w:hAnsi="Times New Roman" w:cs="Times New Roman"/>
          <w:b/>
        </w:rPr>
        <w:t>Uwagi:</w:t>
      </w:r>
      <w:r w:rsidRPr="00267F8C">
        <w:rPr>
          <w:rFonts w:ascii="Times New Roman" w:hAnsi="Times New Roman" w:cs="Times New Roman"/>
        </w:rPr>
        <w:t xml:space="preserve"> Przytoczony fragment zestawia krytykę „danych zagregowanych” w dotychczasowej literaturze z definicją własnych kluczowych zmiennych jako udziałów eksportu na poziomie kraju. Może to przez chwilę sugerować, że nowość polega na samej postaci funkcjonalnej tych zmiennych, podczas gdy rzeczywista innowacja dotyczy sposobu, w jaki udziały te są konstruowane na podstawie danych HS6 BACI oraz autorskich klasyfikacji na poziomie produktów, co zostało jasno przedstawione w sekcjach 3.2 i 3.3.</w:t>
      </w:r>
    </w:p>
    <w:p w:rsidR="005308B6" w:rsidRPr="00267F8C" w:rsidRDefault="005308B6" w:rsidP="000A1B1B">
      <w:pPr>
        <w:rPr>
          <w:rFonts w:ascii="Times New Roman" w:hAnsi="Times New Roman" w:cs="Times New Roman"/>
        </w:rPr>
      </w:pPr>
    </w:p>
    <w:p w:rsidR="000A1B1B" w:rsidRDefault="000A1B1B" w:rsidP="000A1B1B">
      <w:pPr>
        <w:rPr>
          <w:rFonts w:ascii="Times New Roman" w:hAnsi="Times New Roman" w:cs="Times New Roman"/>
        </w:rPr>
      </w:pPr>
      <w:r w:rsidRPr="00267F8C">
        <w:rPr>
          <w:rFonts w:ascii="Times New Roman" w:hAnsi="Times New Roman" w:cs="Times New Roman"/>
        </w:rPr>
        <w:t xml:space="preserve">Stwierdzenie, że „kluczowe zmienne objaśniające są konstruowane z wykorzystaniem surowych, </w:t>
      </w:r>
      <w:proofErr w:type="spellStart"/>
      <w:r w:rsidRPr="00267F8C">
        <w:rPr>
          <w:rFonts w:ascii="Times New Roman" w:hAnsi="Times New Roman" w:cs="Times New Roman"/>
        </w:rPr>
        <w:t>zdezagregowanych</w:t>
      </w:r>
      <w:proofErr w:type="spellEnd"/>
      <w:r w:rsidRPr="00267F8C">
        <w:rPr>
          <w:rFonts w:ascii="Times New Roman" w:hAnsi="Times New Roman" w:cs="Times New Roman"/>
        </w:rPr>
        <w:t xml:space="preserve"> danych eksportowych oraz nowo opracowanych klasyfikacji na poziomie produktów”, już wskazuje właściwy kierunek, a uważny czytelnik zrozumie wkład pracy po zapoznaniu się z dalszą dyskusją klasyfikacji i wskaźników specjalizacji. Jeżeli jednak chc</w:t>
      </w:r>
      <w:r w:rsidR="00895B37">
        <w:rPr>
          <w:rFonts w:ascii="Times New Roman" w:hAnsi="Times New Roman" w:cs="Times New Roman"/>
        </w:rPr>
        <w:t xml:space="preserve">e Pani </w:t>
      </w:r>
      <w:r w:rsidRPr="00267F8C">
        <w:rPr>
          <w:rFonts w:ascii="Times New Roman" w:hAnsi="Times New Roman" w:cs="Times New Roman"/>
        </w:rPr>
        <w:t xml:space="preserve">uprzedzić nawet chwilową niejednoznaczność, można rozważyć wyraźniejsze zasygnalizowanie w tym miejscu, że zmienne te są standardowymi udziałami eksportu na poziomie kraju, a ich nowość wynika z „oddolnej” konstrukcji na podstawie silnie </w:t>
      </w:r>
      <w:proofErr w:type="spellStart"/>
      <w:r w:rsidRPr="00267F8C">
        <w:rPr>
          <w:rFonts w:ascii="Times New Roman" w:hAnsi="Times New Roman" w:cs="Times New Roman"/>
        </w:rPr>
        <w:t>zdezagregowanych</w:t>
      </w:r>
      <w:proofErr w:type="spellEnd"/>
      <w:r w:rsidRPr="00267F8C">
        <w:rPr>
          <w:rFonts w:ascii="Times New Roman" w:hAnsi="Times New Roman" w:cs="Times New Roman"/>
        </w:rPr>
        <w:t xml:space="preserve"> danych handlowych oraz doprecyzowanych klasyfikacji zasobowych i technologicznych, a nie z samej formy agregacji.</w:t>
      </w:r>
    </w:p>
    <w:p w:rsidR="00895B37" w:rsidRPr="00267F8C" w:rsidRDefault="00895B37" w:rsidP="000A1B1B">
      <w:pPr>
        <w:rPr>
          <w:rFonts w:ascii="Times New Roman" w:hAnsi="Times New Roman" w:cs="Times New Roman"/>
        </w:rPr>
      </w:pPr>
      <w:r>
        <w:rPr>
          <w:rFonts w:ascii="Times New Roman" w:hAnsi="Times New Roman" w:cs="Times New Roman"/>
        </w:rPr>
        <w:t>---</w:t>
      </w:r>
    </w:p>
    <w:p w:rsidR="000A1B1B" w:rsidRPr="00267F8C" w:rsidRDefault="000A1B1B" w:rsidP="000A1B1B">
      <w:pPr>
        <w:rPr>
          <w:rFonts w:ascii="Times New Roman" w:hAnsi="Times New Roman" w:cs="Times New Roman"/>
        </w:rPr>
      </w:pPr>
    </w:p>
    <w:p w:rsidR="000A1B1B" w:rsidRPr="00895B37" w:rsidRDefault="000A1B1B" w:rsidP="000A1B1B">
      <w:pPr>
        <w:rPr>
          <w:rFonts w:ascii="Times New Roman" w:hAnsi="Times New Roman" w:cs="Times New Roman"/>
          <w:b/>
        </w:rPr>
      </w:pPr>
      <w:r w:rsidRPr="00895B37">
        <w:rPr>
          <w:rFonts w:ascii="Times New Roman" w:hAnsi="Times New Roman" w:cs="Times New Roman"/>
          <w:b/>
        </w:rPr>
        <w:t>26. Niejasność dotycząca nomenklatury HS w danych BACI</w:t>
      </w:r>
    </w:p>
    <w:p w:rsidR="000A1B1B" w:rsidRDefault="000A1B1B" w:rsidP="000A1B1B">
      <w:pPr>
        <w:rPr>
          <w:rFonts w:ascii="Times New Roman" w:hAnsi="Times New Roman" w:cs="Times New Roman"/>
        </w:rPr>
      </w:pPr>
      <w:r w:rsidRPr="00895B37">
        <w:rPr>
          <w:rFonts w:ascii="Times New Roman" w:hAnsi="Times New Roman" w:cs="Times New Roman"/>
          <w:b/>
        </w:rPr>
        <w:t>Cytat</w:t>
      </w:r>
      <w:r w:rsidRPr="00267F8C">
        <w:rPr>
          <w:rFonts w:ascii="Times New Roman" w:hAnsi="Times New Roman" w:cs="Times New Roman"/>
        </w:rPr>
        <w:t xml:space="preserve">: &gt; Baza BACI CEPII dostarcza danych na poziomie produktów dotyczących bilateralnych przepływów handlowych, identyfikowanych na poziomie sześciocyfrowym, co jest zgodne z sześcioma kolejnymi nomenklaturami Zharmonizowanego Systemu (HS), z </w:t>
      </w:r>
      <w:r w:rsidRPr="00267F8C">
        <w:rPr>
          <w:rFonts w:ascii="Times New Roman" w:hAnsi="Times New Roman" w:cs="Times New Roman"/>
        </w:rPr>
        <w:lastRenderedPageBreak/>
        <w:t>których każda obejmuje inny przedział czasowy... Wybrano nomenklaturę HS96 ze względu na dostępność danych oraz możliwość ich weryfikacji z innymi źródłami.</w:t>
      </w:r>
    </w:p>
    <w:p w:rsidR="00895B37" w:rsidRPr="00267F8C" w:rsidRDefault="00895B37" w:rsidP="000A1B1B">
      <w:pPr>
        <w:rPr>
          <w:rFonts w:ascii="Times New Roman" w:hAnsi="Times New Roman" w:cs="Times New Roman"/>
        </w:rPr>
      </w:pPr>
    </w:p>
    <w:p w:rsidR="000A1B1B" w:rsidRDefault="000A1B1B" w:rsidP="000A1B1B">
      <w:pPr>
        <w:rPr>
          <w:rFonts w:ascii="Times New Roman" w:hAnsi="Times New Roman" w:cs="Times New Roman"/>
        </w:rPr>
      </w:pPr>
      <w:r w:rsidRPr="00895B37">
        <w:rPr>
          <w:rFonts w:ascii="Times New Roman" w:hAnsi="Times New Roman" w:cs="Times New Roman"/>
          <w:b/>
        </w:rPr>
        <w:t>Uwagi:</w:t>
      </w:r>
      <w:r w:rsidRPr="00267F8C">
        <w:rPr>
          <w:rFonts w:ascii="Times New Roman" w:hAnsi="Times New Roman" w:cs="Times New Roman"/>
        </w:rPr>
        <w:t xml:space="preserve"> Początkowo zdanie „Wybrano nomenklaturę HS96…” sprawiło, że odniosłem wrażenie, iż baza BACI może być opisana w sposób sugerujący, że jej domyślna klasyfikacja jest inna. Następnie zrozumiałem z Załącznika A oraz z odniesień do klasyfikacji HS96 na poziomie sześciocyfrowym, że chodzi po prostu o wskazanie, iż wszystkie dalsze analizy prowadzone są w klasyfikacji produktów HS96.</w:t>
      </w:r>
    </w:p>
    <w:p w:rsidR="00895B37" w:rsidRPr="00267F8C" w:rsidRDefault="00895B37" w:rsidP="000A1B1B">
      <w:pPr>
        <w:rPr>
          <w:rFonts w:ascii="Times New Roman" w:hAnsi="Times New Roman" w:cs="Times New Roman"/>
        </w:rPr>
      </w:pPr>
    </w:p>
    <w:p w:rsidR="000A1B1B" w:rsidRDefault="000A1B1B" w:rsidP="000A1B1B">
      <w:pPr>
        <w:rPr>
          <w:rFonts w:ascii="Times New Roman" w:hAnsi="Times New Roman" w:cs="Times New Roman"/>
        </w:rPr>
      </w:pPr>
      <w:r w:rsidRPr="00267F8C">
        <w:rPr>
          <w:rFonts w:ascii="Times New Roman" w:hAnsi="Times New Roman" w:cs="Times New Roman"/>
        </w:rPr>
        <w:t>Aby uniknąć ewentualnej niejednoznaczności dla czytelników znających inne opisy bazy BACI, pomocne byłoby wyraźne zaznaczenie, że wykorzystuj</w:t>
      </w:r>
      <w:r w:rsidR="00895B37">
        <w:rPr>
          <w:rFonts w:ascii="Times New Roman" w:hAnsi="Times New Roman" w:cs="Times New Roman"/>
        </w:rPr>
        <w:t>e Pani</w:t>
      </w:r>
      <w:r w:rsidRPr="00267F8C">
        <w:rPr>
          <w:rFonts w:ascii="Times New Roman" w:hAnsi="Times New Roman" w:cs="Times New Roman"/>
        </w:rPr>
        <w:t xml:space="preserve"> wersję BACI zakodowaną w nomenklaturze HS96 na poziomie sześciocyfrowym oraz że </w:t>
      </w:r>
      <w:r w:rsidR="00895B37">
        <w:rPr>
          <w:rFonts w:ascii="Times New Roman" w:hAnsi="Times New Roman" w:cs="Times New Roman"/>
        </w:rPr>
        <w:t>Pani</w:t>
      </w:r>
      <w:r w:rsidRPr="00267F8C">
        <w:rPr>
          <w:rFonts w:ascii="Times New Roman" w:hAnsi="Times New Roman" w:cs="Times New Roman"/>
        </w:rPr>
        <w:t xml:space="preserve"> klasyfikacje zasobowe i technologiczne zostały zdefiniowane w obrębie tej nomenklatury.</w:t>
      </w:r>
    </w:p>
    <w:p w:rsidR="00895B37" w:rsidRPr="00267F8C" w:rsidRDefault="00895B37" w:rsidP="000A1B1B">
      <w:pPr>
        <w:rPr>
          <w:rFonts w:ascii="Times New Roman" w:hAnsi="Times New Roman" w:cs="Times New Roman"/>
        </w:rPr>
      </w:pPr>
      <w:r>
        <w:rPr>
          <w:rFonts w:ascii="Times New Roman" w:hAnsi="Times New Roman" w:cs="Times New Roman"/>
        </w:rPr>
        <w:t>---</w:t>
      </w:r>
    </w:p>
    <w:p w:rsidR="000A1B1B" w:rsidRPr="00267F8C" w:rsidRDefault="000A1B1B" w:rsidP="000A1B1B">
      <w:pPr>
        <w:rPr>
          <w:rFonts w:ascii="Times New Roman" w:hAnsi="Times New Roman" w:cs="Times New Roman"/>
        </w:rPr>
      </w:pPr>
    </w:p>
    <w:p w:rsidR="000A1B1B" w:rsidRPr="00895B37" w:rsidRDefault="000A1B1B" w:rsidP="000A1B1B">
      <w:pPr>
        <w:rPr>
          <w:rFonts w:ascii="Times New Roman" w:hAnsi="Times New Roman" w:cs="Times New Roman"/>
          <w:b/>
        </w:rPr>
      </w:pPr>
      <w:r w:rsidRPr="00895B37">
        <w:rPr>
          <w:rFonts w:ascii="Times New Roman" w:hAnsi="Times New Roman" w:cs="Times New Roman"/>
          <w:b/>
        </w:rPr>
        <w:t>27. Niejednoznaczność przy tworzeniu zbilansowanego panelu produktów</w:t>
      </w:r>
    </w:p>
    <w:p w:rsidR="000A1B1B" w:rsidRPr="00267F8C" w:rsidRDefault="000A1B1B" w:rsidP="000A1B1B">
      <w:pPr>
        <w:rPr>
          <w:rFonts w:ascii="Times New Roman" w:hAnsi="Times New Roman" w:cs="Times New Roman"/>
        </w:rPr>
      </w:pPr>
      <w:r w:rsidRPr="00267F8C">
        <w:rPr>
          <w:rFonts w:ascii="Times New Roman" w:hAnsi="Times New Roman" w:cs="Times New Roman"/>
        </w:rPr>
        <w:t>Status: [</w:t>
      </w:r>
      <w:proofErr w:type="spellStart"/>
      <w:r w:rsidRPr="00267F8C">
        <w:rPr>
          <w:rFonts w:ascii="Times New Roman" w:hAnsi="Times New Roman" w:cs="Times New Roman"/>
        </w:rPr>
        <w:t>Pending</w:t>
      </w:r>
      <w:proofErr w:type="spellEnd"/>
      <w:r w:rsidRPr="00267F8C">
        <w:rPr>
          <w:rFonts w:ascii="Times New Roman" w:hAnsi="Times New Roman" w:cs="Times New Roman"/>
        </w:rPr>
        <w:t>]</w:t>
      </w:r>
    </w:p>
    <w:p w:rsidR="000A1B1B" w:rsidRDefault="000A1B1B" w:rsidP="000A1B1B">
      <w:pPr>
        <w:rPr>
          <w:rFonts w:ascii="Times New Roman" w:hAnsi="Times New Roman" w:cs="Times New Roman"/>
        </w:rPr>
      </w:pPr>
      <w:r w:rsidRPr="00895B37">
        <w:rPr>
          <w:rFonts w:ascii="Times New Roman" w:hAnsi="Times New Roman" w:cs="Times New Roman"/>
          <w:b/>
        </w:rPr>
        <w:t>Cytat:</w:t>
      </w:r>
      <w:r w:rsidRPr="00267F8C">
        <w:rPr>
          <w:rFonts w:ascii="Times New Roman" w:hAnsi="Times New Roman" w:cs="Times New Roman"/>
        </w:rPr>
        <w:t xml:space="preserve"> &gt; Po drugie, rozwiązano problem nierównej liczby kodów produktów w analizowanym okresie. W celu uzyskania zbilansowanego zbioru danych usunięto zanikające kody produktów. Ostateczna baza danych obejmuje 4747 kodów produktów.</w:t>
      </w:r>
    </w:p>
    <w:p w:rsidR="00895B37" w:rsidRPr="00267F8C" w:rsidRDefault="00895B37" w:rsidP="000A1B1B">
      <w:pPr>
        <w:rPr>
          <w:rFonts w:ascii="Times New Roman" w:hAnsi="Times New Roman" w:cs="Times New Roman"/>
        </w:rPr>
      </w:pPr>
    </w:p>
    <w:p w:rsidR="000A1B1B" w:rsidRDefault="000A1B1B" w:rsidP="000A1B1B">
      <w:pPr>
        <w:rPr>
          <w:rFonts w:ascii="Times New Roman" w:hAnsi="Times New Roman" w:cs="Times New Roman"/>
        </w:rPr>
      </w:pPr>
      <w:r w:rsidRPr="00895B37">
        <w:rPr>
          <w:rFonts w:ascii="Times New Roman" w:hAnsi="Times New Roman" w:cs="Times New Roman"/>
          <w:b/>
        </w:rPr>
        <w:t>Uwagi</w:t>
      </w:r>
      <w:r w:rsidRPr="00267F8C">
        <w:rPr>
          <w:rFonts w:ascii="Times New Roman" w:hAnsi="Times New Roman" w:cs="Times New Roman"/>
        </w:rPr>
        <w:t>: Zwięzły opis sposobu bilansowania wymiaru produktowego w czasie pozostawia pewne pole do interpretacji. Zdanie „W celu uzyskania zbilansowanego zbioru danych usunięto zanikające kody produktów” nie precyzuje dokładnie, co uznaje się za „zanikający” kod (np. nieobecność w co najmniej jednym roku w danych światowych, nieobecność przez minimalną liczbę lat itd.) ani ile kodów HS96 usunięto względem pełnej nomenklatury, poza końcową liczbą 4747.</w:t>
      </w:r>
    </w:p>
    <w:p w:rsidR="000A1B1B" w:rsidRDefault="000A1B1B" w:rsidP="000A1B1B">
      <w:pPr>
        <w:rPr>
          <w:rFonts w:ascii="Times New Roman" w:hAnsi="Times New Roman" w:cs="Times New Roman"/>
        </w:rPr>
      </w:pPr>
      <w:r w:rsidRPr="00267F8C">
        <w:rPr>
          <w:rFonts w:ascii="Times New Roman" w:hAnsi="Times New Roman" w:cs="Times New Roman"/>
        </w:rPr>
        <w:t>Doprecyzowanie dokładnego kryterium zastosowanego przy eliminacji kodów oraz wskazanie w przybliżeniu, jak dużej części przestrzeni produktowej HS96 to dotyczy, uczyniłoby konstrukcję bazy danych bardziej przejrzystą i łatwiejszą do replikacji. Krótka uwaga, że krok ten ustala zbiór produktów HS96 dla lat 1996–2021, podczas gdy cała dynamika marginesu ekstensywnego zachodzi na poziomie kraj–produkt w obrębie tego zbioru, pomogłaby również czytelnikom lepiej zrozumieć implikacje dla obliczanych miar dywersyfikacji.</w:t>
      </w:r>
    </w:p>
    <w:p w:rsidR="00895B37" w:rsidRPr="00267F8C" w:rsidRDefault="00895B37" w:rsidP="000A1B1B">
      <w:pPr>
        <w:rPr>
          <w:rFonts w:ascii="Times New Roman" w:hAnsi="Times New Roman" w:cs="Times New Roman"/>
        </w:rPr>
      </w:pPr>
      <w:r>
        <w:rPr>
          <w:rFonts w:ascii="Times New Roman" w:hAnsi="Times New Roman" w:cs="Times New Roman"/>
        </w:rPr>
        <w:t>---</w:t>
      </w:r>
    </w:p>
    <w:p w:rsidR="000A1B1B" w:rsidRPr="00267F8C" w:rsidRDefault="000A1B1B" w:rsidP="000A1B1B">
      <w:pPr>
        <w:rPr>
          <w:rFonts w:ascii="Times New Roman" w:hAnsi="Times New Roman" w:cs="Times New Roman"/>
        </w:rPr>
      </w:pPr>
    </w:p>
    <w:p w:rsidR="000A1B1B" w:rsidRPr="00895B37" w:rsidRDefault="000A1B1B" w:rsidP="000A1B1B">
      <w:pPr>
        <w:rPr>
          <w:rFonts w:ascii="Times New Roman" w:hAnsi="Times New Roman" w:cs="Times New Roman"/>
          <w:b/>
        </w:rPr>
      </w:pPr>
      <w:r w:rsidRPr="00895B37">
        <w:rPr>
          <w:rFonts w:ascii="Times New Roman" w:hAnsi="Times New Roman" w:cs="Times New Roman"/>
          <w:b/>
        </w:rPr>
        <w:t>28. Konstrukcja danych może wpływać na miary dywersyfikacji</w:t>
      </w:r>
    </w:p>
    <w:p w:rsidR="000A1B1B" w:rsidRPr="00267F8C" w:rsidRDefault="000A1B1B" w:rsidP="000A1B1B">
      <w:pPr>
        <w:rPr>
          <w:rFonts w:ascii="Times New Roman" w:hAnsi="Times New Roman" w:cs="Times New Roman"/>
        </w:rPr>
      </w:pPr>
      <w:r w:rsidRPr="00895B37">
        <w:rPr>
          <w:rFonts w:ascii="Times New Roman" w:hAnsi="Times New Roman" w:cs="Times New Roman"/>
          <w:b/>
        </w:rPr>
        <w:t>Cytat:</w:t>
      </w:r>
      <w:r w:rsidRPr="00267F8C">
        <w:rPr>
          <w:rFonts w:ascii="Times New Roman" w:hAnsi="Times New Roman" w:cs="Times New Roman"/>
        </w:rPr>
        <w:t xml:space="preserve"> &gt; Po drugie, rozwiązano problem nierównej liczby kodów produktów w analizowanym okresie. W celu uzyskania zbilansowanego zbioru danych usunięto zanikające kody produktów[^61]. Ostateczna baza danych obejmuje 4747 kodów produktów.</w:t>
      </w:r>
    </w:p>
    <w:p w:rsidR="000A1B1B" w:rsidRDefault="000A1B1B" w:rsidP="000A1B1B">
      <w:pPr>
        <w:rPr>
          <w:rFonts w:ascii="Times New Roman" w:hAnsi="Times New Roman" w:cs="Times New Roman"/>
        </w:rPr>
      </w:pPr>
      <w:r w:rsidRPr="00267F8C">
        <w:rPr>
          <w:rFonts w:ascii="Times New Roman" w:hAnsi="Times New Roman" w:cs="Times New Roman"/>
        </w:rPr>
        <w:t xml:space="preserve">    [^61] Usunięto kody produktów, które nie występowały w zbiorze danych przez cały okres 1996–2021. Zrobiono to, aby zapewnić, że liczba kodów produktów jest taka sama we wszystkich latach, co stanowi warunek konieczny do obliczenia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w:t>
      </w:r>
    </w:p>
    <w:p w:rsidR="00895B37" w:rsidRPr="00267F8C" w:rsidRDefault="00895B37" w:rsidP="000A1B1B">
      <w:pPr>
        <w:rPr>
          <w:rFonts w:ascii="Times New Roman" w:hAnsi="Times New Roman" w:cs="Times New Roman"/>
        </w:rPr>
      </w:pPr>
    </w:p>
    <w:p w:rsidR="000A1B1B" w:rsidRDefault="000A1B1B" w:rsidP="000A1B1B">
      <w:pPr>
        <w:rPr>
          <w:rFonts w:ascii="Times New Roman" w:hAnsi="Times New Roman" w:cs="Times New Roman"/>
        </w:rPr>
      </w:pPr>
      <w:r w:rsidRPr="00267F8C">
        <w:rPr>
          <w:rFonts w:ascii="Times New Roman" w:hAnsi="Times New Roman" w:cs="Times New Roman"/>
        </w:rPr>
        <w:t xml:space="preserve">Uwagi: Decyzja o zachowaniu wyłącznie tych kodów HS6, które występują w danych w każdym roku w okresie 1996–2021, oznacza, że indeksy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i ich dekompozycje są obliczane dla stałego, „zawsze handlowanego” zbioru produktów. W przypisie 61 przedstawiono to jako „warunek konieczny” obliczenia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w:t>
      </w:r>
    </w:p>
    <w:p w:rsidR="00895B37" w:rsidRPr="00267F8C" w:rsidRDefault="00895B37" w:rsidP="000A1B1B">
      <w:pPr>
        <w:rPr>
          <w:rFonts w:ascii="Times New Roman" w:hAnsi="Times New Roman" w:cs="Times New Roman"/>
        </w:rPr>
      </w:pPr>
    </w:p>
    <w:p w:rsidR="000A1B1B" w:rsidRDefault="000A1B1B" w:rsidP="000A1B1B">
      <w:pPr>
        <w:rPr>
          <w:rFonts w:ascii="Times New Roman" w:hAnsi="Times New Roman" w:cs="Times New Roman"/>
        </w:rPr>
      </w:pPr>
      <w:r w:rsidRPr="00267F8C">
        <w:rPr>
          <w:rFonts w:ascii="Times New Roman" w:hAnsi="Times New Roman" w:cs="Times New Roman"/>
        </w:rPr>
        <w:lastRenderedPageBreak/>
        <w:t>Ten wybór konstrukcyjny ma istotne konsekwencje merytoryczne. Celowo eliminuje on kody produktów, które pojawiają się lub znikają w badanym okresie, przez co miary dywersyfikacji odzwierciedlają realokacje w obrębie niezmiennego koszyka dóbr (perspektywa marginesu intensywnego), zamiast ujmować dynamikę marginesu ekstensywnego napędzaną przez nowe linie produktowe. W badaniu, które łączy dywersyfikację i zmianę strukturalną z postępem technologicznym, ma to znaczenie, ponieważ część innowacji produktowych oraz aktywności 4IR/ICT/TECH może przyjmować postać nowych linii HS6, które byłyby z definicji wykluczone.</w:t>
      </w:r>
    </w:p>
    <w:p w:rsidR="00895B37" w:rsidRPr="00267F8C" w:rsidRDefault="00895B37" w:rsidP="000A1B1B">
      <w:pPr>
        <w:rPr>
          <w:rFonts w:ascii="Times New Roman" w:hAnsi="Times New Roman" w:cs="Times New Roman"/>
        </w:rPr>
      </w:pPr>
    </w:p>
    <w:p w:rsidR="000A1B1B" w:rsidRDefault="000A1B1B" w:rsidP="000A1B1B">
      <w:pPr>
        <w:rPr>
          <w:rFonts w:ascii="Times New Roman" w:hAnsi="Times New Roman" w:cs="Times New Roman"/>
        </w:rPr>
      </w:pPr>
      <w:r w:rsidRPr="00267F8C">
        <w:rPr>
          <w:rFonts w:ascii="Times New Roman" w:hAnsi="Times New Roman" w:cs="Times New Roman"/>
        </w:rPr>
        <w:t xml:space="preserve">Ponadto, choć stały zbiór produktów upraszcza porównywalność indeksu RT między latami i pozwala uniknąć problemów technicznych, gdy światowe udziały eksportowe są równe zeru, nie jest to dosłownie konieczność matematyczna dla obliczania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standardowe podejście polega na zdefiniowaniu wspólnego zbioru kodów HS6 i traktowaniu produktów nieeksportowanych jako zer. Możliwe są zatem alternatywne sposoby postępowania wobec zmieniających się zbiorów produktów.</w:t>
      </w:r>
    </w:p>
    <w:p w:rsidR="00895B37" w:rsidRPr="00267F8C" w:rsidRDefault="00895B37" w:rsidP="000A1B1B">
      <w:pPr>
        <w:rPr>
          <w:rFonts w:ascii="Times New Roman" w:hAnsi="Times New Roman" w:cs="Times New Roman"/>
        </w:rPr>
      </w:pPr>
    </w:p>
    <w:p w:rsidR="000A1B1B" w:rsidRDefault="000A1B1B" w:rsidP="000A1B1B">
      <w:pPr>
        <w:rPr>
          <w:rFonts w:ascii="Times New Roman" w:hAnsi="Times New Roman" w:cs="Times New Roman"/>
        </w:rPr>
      </w:pPr>
      <w:r w:rsidRPr="00267F8C">
        <w:rPr>
          <w:rFonts w:ascii="Times New Roman" w:hAnsi="Times New Roman" w:cs="Times New Roman"/>
        </w:rPr>
        <w:t>Pomocne byłoby: (i) wyraźne stwierdzenie, że analiza jest świadomie ograniczona do dywersyfikacji w obrębie stabilnego zbioru kodów produktów oraz że efekty marginesu ekstensywnego nie są modelowane; (ii) krótkie omówienie, jak restrykcyjna jest zasada „obecności we wszystkich latach” dla klasyfikacji zasobowych i technologicznych (np. ile kodów zostaje utraconych); oraz (iii) w miarę możliwości przedstawienie testu odporności z mniej rygorystyczną regułą doboru produktów albo z pełnym, niezbilansowanym zbiorem produktów. Pozwoliłoby to wykazać, że główne wyniki nie są artefaktem ograniczenia do zbilansowanego zbioru kodów.</w:t>
      </w:r>
    </w:p>
    <w:p w:rsidR="00895B37" w:rsidRPr="00267F8C" w:rsidRDefault="00895B37" w:rsidP="000A1B1B">
      <w:pPr>
        <w:rPr>
          <w:rFonts w:ascii="Times New Roman" w:hAnsi="Times New Roman" w:cs="Times New Roman"/>
        </w:rPr>
      </w:pPr>
      <w:r>
        <w:rPr>
          <w:rFonts w:ascii="Times New Roman" w:hAnsi="Times New Roman" w:cs="Times New Roman"/>
        </w:rPr>
        <w:t>---</w:t>
      </w:r>
    </w:p>
    <w:p w:rsidR="000A1B1B" w:rsidRPr="00267F8C" w:rsidRDefault="000A1B1B" w:rsidP="000A1B1B">
      <w:pPr>
        <w:rPr>
          <w:rFonts w:ascii="Times New Roman" w:hAnsi="Times New Roman" w:cs="Times New Roman"/>
        </w:rPr>
      </w:pPr>
    </w:p>
    <w:p w:rsidR="000A1B1B" w:rsidRPr="00895B37" w:rsidRDefault="000A1B1B" w:rsidP="000A1B1B">
      <w:pPr>
        <w:rPr>
          <w:rFonts w:ascii="Times New Roman" w:hAnsi="Times New Roman" w:cs="Times New Roman"/>
          <w:b/>
        </w:rPr>
      </w:pPr>
      <w:r w:rsidRPr="00895B37">
        <w:rPr>
          <w:rFonts w:ascii="Times New Roman" w:hAnsi="Times New Roman" w:cs="Times New Roman"/>
          <w:b/>
        </w:rPr>
        <w:t xml:space="preserve">29. Definicja względnego indeksu </w:t>
      </w:r>
      <w:proofErr w:type="spellStart"/>
      <w:r w:rsidRPr="00895B37">
        <w:rPr>
          <w:rFonts w:ascii="Times New Roman" w:hAnsi="Times New Roman" w:cs="Times New Roman"/>
          <w:b/>
        </w:rPr>
        <w:t>Theila</w:t>
      </w:r>
      <w:proofErr w:type="spellEnd"/>
      <w:r w:rsidRPr="00895B37">
        <w:rPr>
          <w:rFonts w:ascii="Times New Roman" w:hAnsi="Times New Roman" w:cs="Times New Roman"/>
          <w:b/>
        </w:rPr>
        <w:t xml:space="preserve"> specyficznego dla grup</w:t>
      </w:r>
    </w:p>
    <w:p w:rsidR="00267F8C" w:rsidRPr="00267F8C" w:rsidRDefault="00267F8C" w:rsidP="00267F8C">
      <w:pPr>
        <w:rPr>
          <w:rFonts w:ascii="Times New Roman" w:hAnsi="Times New Roman" w:cs="Times New Roman"/>
        </w:rPr>
      </w:pPr>
      <w:r w:rsidRPr="00895B37">
        <w:rPr>
          <w:rFonts w:ascii="Times New Roman" w:hAnsi="Times New Roman" w:cs="Times New Roman"/>
          <w:b/>
        </w:rPr>
        <w:t>Cytat</w:t>
      </w:r>
      <w:r w:rsidRPr="00267F8C">
        <w:rPr>
          <w:rFonts w:ascii="Times New Roman" w:hAnsi="Times New Roman" w:cs="Times New Roman"/>
        </w:rPr>
        <w:t>:</w:t>
      </w:r>
      <w:r w:rsidR="00895B37">
        <w:rPr>
          <w:rFonts w:ascii="Times New Roman" w:hAnsi="Times New Roman" w:cs="Times New Roman"/>
        </w:rPr>
        <w:t xml:space="preserve"> </w:t>
      </w:r>
      <w:r w:rsidRPr="00267F8C">
        <w:rPr>
          <w:rFonts w:ascii="Times New Roman" w:hAnsi="Times New Roman" w:cs="Times New Roman"/>
        </w:rPr>
        <w:t xml:space="preserve">Na przykład względny indeks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dla grupy produktów zasobowych g = TOTAL NR byłby obliczany przy użyciu następującego wzoru:</w:t>
      </w:r>
    </w:p>
    <w:p w:rsidR="00267F8C" w:rsidRPr="00267F8C" w:rsidRDefault="00267F8C" w:rsidP="00267F8C">
      <w:pPr>
        <w:rPr>
          <w:rFonts w:ascii="Times New Roman" w:hAnsi="Times New Roman" w:cs="Times New Roman"/>
        </w:rPr>
      </w:pPr>
    </w:p>
    <w:p w:rsidR="00D03673" w:rsidRDefault="00D03673" w:rsidP="00267F8C">
      <w:pPr>
        <w:rPr>
          <w:rFonts w:ascii="Times New Roman" w:hAnsi="Times New Roman" w:cs="Times New Roman"/>
        </w:rPr>
      </w:pPr>
    </w:p>
    <w:p w:rsidR="00267F8C" w:rsidRPr="00D03673" w:rsidRDefault="00D03673" w:rsidP="00267F8C">
      <w:pPr>
        <w:rPr>
          <w:rFonts w:ascii="Times New Roman" w:hAnsi="Times New Roman" w:cs="Times New Roman"/>
          <w:i/>
        </w:rPr>
      </w:pPr>
      <w:r w:rsidRPr="00D03673">
        <w:rPr>
          <w:rFonts w:ascii="Times New Roman" w:hAnsi="Times New Roman" w:cs="Times New Roman"/>
          <w:i/>
        </w:rPr>
        <w:t>WZÓR</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267F8C">
        <w:rPr>
          <w:rFonts w:ascii="Times New Roman" w:hAnsi="Times New Roman" w:cs="Times New Roman"/>
        </w:rPr>
        <w:t>gdzie:</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267F8C">
        <w:rPr>
          <w:rFonts w:ascii="Times New Roman" w:hAnsi="Times New Roman" w:cs="Times New Roman"/>
        </w:rPr>
        <w:t>( S_{</w:t>
      </w:r>
      <w:proofErr w:type="spellStart"/>
      <w:r w:rsidRPr="00267F8C">
        <w:rPr>
          <w:rFonts w:ascii="Times New Roman" w:hAnsi="Times New Roman" w:cs="Times New Roman"/>
        </w:rPr>
        <w:t>NR,c</w:t>
      </w:r>
      <w:proofErr w:type="spellEnd"/>
      <w:r w:rsidRPr="00267F8C">
        <w:rPr>
          <w:rFonts w:ascii="Times New Roman" w:hAnsi="Times New Roman" w:cs="Times New Roman"/>
        </w:rPr>
        <w:t>}, S_{</w:t>
      </w:r>
      <w:proofErr w:type="spellStart"/>
      <w:r w:rsidRPr="00267F8C">
        <w:rPr>
          <w:rFonts w:ascii="Times New Roman" w:hAnsi="Times New Roman" w:cs="Times New Roman"/>
        </w:rPr>
        <w:t>NR,w</w:t>
      </w:r>
      <w:proofErr w:type="spellEnd"/>
      <w:r w:rsidRPr="00267F8C">
        <w:rPr>
          <w:rFonts w:ascii="Times New Roman" w:hAnsi="Times New Roman" w:cs="Times New Roman"/>
        </w:rPr>
        <w:t>} ) — udział grupy TOTAL NR w całkowitym eksporcie kraju ( c ) (świata ( w )).</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D03673">
        <w:rPr>
          <w:rFonts w:ascii="Times New Roman" w:hAnsi="Times New Roman" w:cs="Times New Roman"/>
          <w:b/>
        </w:rPr>
        <w:t>Uwagi</w:t>
      </w:r>
      <w:r w:rsidRPr="00267F8C">
        <w:rPr>
          <w:rFonts w:ascii="Times New Roman" w:hAnsi="Times New Roman" w:cs="Times New Roman"/>
        </w:rPr>
        <w:t>:</w:t>
      </w:r>
      <w:r w:rsidR="00D03673">
        <w:rPr>
          <w:rFonts w:ascii="Times New Roman" w:hAnsi="Times New Roman" w:cs="Times New Roman"/>
        </w:rPr>
        <w:t xml:space="preserve"> </w:t>
      </w:r>
      <w:r w:rsidRPr="00267F8C">
        <w:rPr>
          <w:rFonts w:ascii="Times New Roman" w:hAnsi="Times New Roman" w:cs="Times New Roman"/>
        </w:rPr>
        <w:t xml:space="preserve">Początkowo miałem trudności z definicją względnego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specyficznego dla grupy, ponieważ przykład dla </w:t>
      </w:r>
      <w:proofErr w:type="spellStart"/>
      <w:r w:rsidRPr="00267F8C">
        <w:rPr>
          <w:rFonts w:ascii="Times New Roman" w:hAnsi="Times New Roman" w:cs="Times New Roman"/>
        </w:rPr>
        <w:t>RT_NR,c</w:t>
      </w:r>
      <w:proofErr w:type="spellEnd"/>
      <w:r w:rsidRPr="00267F8C">
        <w:rPr>
          <w:rFonts w:ascii="Times New Roman" w:hAnsi="Times New Roman" w:cs="Times New Roman"/>
        </w:rPr>
        <w:t xml:space="preserve"> łączy znak sumy z wyrazami zdefiniowanymi jako zagregowane udziały grup. W przedstawionej formie:</w:t>
      </w:r>
    </w:p>
    <w:p w:rsidR="00267F8C" w:rsidRPr="00267F8C" w:rsidRDefault="00267F8C" w:rsidP="00267F8C">
      <w:pPr>
        <w:rPr>
          <w:rFonts w:ascii="Times New Roman" w:hAnsi="Times New Roman" w:cs="Times New Roman"/>
        </w:rPr>
      </w:pPr>
    </w:p>
    <w:p w:rsidR="00267F8C" w:rsidRPr="00D03673" w:rsidRDefault="00D03673" w:rsidP="00267F8C">
      <w:pPr>
        <w:rPr>
          <w:rFonts w:ascii="Times New Roman" w:hAnsi="Times New Roman" w:cs="Times New Roman"/>
          <w:i/>
        </w:rPr>
      </w:pPr>
      <w:r w:rsidRPr="00D03673">
        <w:rPr>
          <w:rFonts w:ascii="Times New Roman" w:hAnsi="Times New Roman" w:cs="Times New Roman"/>
          <w:i/>
        </w:rPr>
        <w:t>WZÓR</w:t>
      </w:r>
    </w:p>
    <w:p w:rsidR="00267F8C" w:rsidRPr="00267F8C" w:rsidRDefault="00267F8C" w:rsidP="00267F8C">
      <w:pPr>
        <w:rPr>
          <w:rFonts w:ascii="Times New Roman" w:hAnsi="Times New Roman" w:cs="Times New Roman"/>
        </w:rPr>
      </w:pPr>
      <w:r w:rsidRPr="00267F8C">
        <w:rPr>
          <w:rFonts w:ascii="Times New Roman" w:hAnsi="Times New Roman" w:cs="Times New Roman"/>
        </w:rPr>
        <w:t xml:space="preserve">gdzie </w:t>
      </w:r>
      <w:proofErr w:type="spellStart"/>
      <w:r w:rsidRPr="00267F8C">
        <w:rPr>
          <w:rFonts w:ascii="Times New Roman" w:hAnsi="Times New Roman" w:cs="Times New Roman"/>
        </w:rPr>
        <w:t>S_NR,c</w:t>
      </w:r>
      <w:proofErr w:type="spellEnd"/>
      <w:r w:rsidRPr="00267F8C">
        <w:rPr>
          <w:rFonts w:ascii="Times New Roman" w:hAnsi="Times New Roman" w:cs="Times New Roman"/>
        </w:rPr>
        <w:t xml:space="preserve"> opisano jako „udział grupy TOTAL NR w całkowitym eksporcie kraju”, oznacza to sumowanie stałej wartości po produktach, co nie ma sensu. Ponadto wyrażenie </w:t>
      </w:r>
      <w:proofErr w:type="spellStart"/>
      <w:r w:rsidRPr="00267F8C">
        <w:rPr>
          <w:rFonts w:ascii="Times New Roman" w:hAnsi="Times New Roman" w:cs="Times New Roman"/>
        </w:rPr>
        <w:t>S_NR,c</w:t>
      </w:r>
      <w:proofErr w:type="spellEnd"/>
      <w:r w:rsidR="00D03673">
        <w:rPr>
          <w:rFonts w:ascii="Times New Roman" w:hAnsi="Times New Roman" w:cs="Times New Roman"/>
        </w:rPr>
        <w:t xml:space="preserve">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S_NR,c</w:t>
      </w:r>
      <w:proofErr w:type="spellEnd"/>
      <w:r w:rsidRPr="00267F8C">
        <w:rPr>
          <w:rFonts w:ascii="Times New Roman" w:hAnsi="Times New Roman" w:cs="Times New Roman"/>
        </w:rPr>
        <w:t>/</w:t>
      </w:r>
      <w:proofErr w:type="spellStart"/>
      <w:r w:rsidRPr="00267F8C">
        <w:rPr>
          <w:rFonts w:ascii="Times New Roman" w:hAnsi="Times New Roman" w:cs="Times New Roman"/>
        </w:rPr>
        <w:t>S_NR,w</w:t>
      </w:r>
      <w:proofErr w:type="spellEnd"/>
      <w:r w:rsidR="00D03673">
        <w:rPr>
          <w:rFonts w:ascii="Times New Roman" w:hAnsi="Times New Roman" w:cs="Times New Roman"/>
        </w:rPr>
        <w:t>)</w:t>
      </w:r>
      <w:r w:rsidRPr="00267F8C">
        <w:rPr>
          <w:rFonts w:ascii="Times New Roman" w:hAnsi="Times New Roman" w:cs="Times New Roman"/>
        </w:rPr>
        <w:t xml:space="preserve"> jest później wykorzystywane jako składnik międzygrupowy w dekompozycji dla agregatu NR, podczas gdy ( </w:t>
      </w:r>
      <w:proofErr w:type="spellStart"/>
      <w:r w:rsidRPr="00267F8C">
        <w:rPr>
          <w:rFonts w:ascii="Times New Roman" w:hAnsi="Times New Roman" w:cs="Times New Roman"/>
        </w:rPr>
        <w:t>RT_NR,c</w:t>
      </w:r>
      <w:proofErr w:type="spellEnd"/>
      <w:r w:rsidRPr="00267F8C">
        <w:rPr>
          <w:rFonts w:ascii="Times New Roman" w:hAnsi="Times New Roman" w:cs="Times New Roman"/>
        </w:rPr>
        <w:t>) powinien być indeksem wewnątrzgrupowym zbudowanym na poziomie produktów w grupie NR.</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267F8C">
        <w:rPr>
          <w:rFonts w:ascii="Times New Roman" w:hAnsi="Times New Roman" w:cs="Times New Roman"/>
        </w:rPr>
        <w:lastRenderedPageBreak/>
        <w:t xml:space="preserve">Ta niespójność między wzorem, definicją punktową oraz rolą </w:t>
      </w:r>
      <w:proofErr w:type="spellStart"/>
      <w:r w:rsidRPr="00267F8C">
        <w:rPr>
          <w:rFonts w:ascii="Times New Roman" w:hAnsi="Times New Roman" w:cs="Times New Roman"/>
        </w:rPr>
        <w:t>RT_g^c</w:t>
      </w:r>
      <w:proofErr w:type="spellEnd"/>
      <w:r w:rsidRPr="00267F8C">
        <w:rPr>
          <w:rFonts w:ascii="Times New Roman" w:hAnsi="Times New Roman" w:cs="Times New Roman"/>
        </w:rPr>
        <w:t xml:space="preserve">  w równaniu (4) sprawia, że nie jest jasne, jak faktycznie obliczano względne indeksy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dla poszczególnych grup. Ważne byłoby poprawienie tego przykładu tak, aby  </w:t>
      </w:r>
      <w:proofErr w:type="spellStart"/>
      <w:r w:rsidRPr="00267F8C">
        <w:rPr>
          <w:rFonts w:ascii="Times New Roman" w:hAnsi="Times New Roman" w:cs="Times New Roman"/>
        </w:rPr>
        <w:t>RT_g,c</w:t>
      </w:r>
      <w:proofErr w:type="spellEnd"/>
      <w:r w:rsidRPr="00267F8C">
        <w:rPr>
          <w:rFonts w:ascii="Times New Roman" w:hAnsi="Times New Roman" w:cs="Times New Roman"/>
        </w:rPr>
        <w:t xml:space="preserve"> było jawnie zdefiniowane jako suma po produktach w grupie </w:t>
      </w:r>
      <w:r w:rsidRPr="00D03673">
        <w:rPr>
          <w:rFonts w:ascii="Times New Roman" w:hAnsi="Times New Roman" w:cs="Times New Roman"/>
          <w:i/>
        </w:rPr>
        <w:t>g</w:t>
      </w:r>
      <w:r w:rsidRPr="00267F8C">
        <w:rPr>
          <w:rFonts w:ascii="Times New Roman" w:hAnsi="Times New Roman" w:cs="Times New Roman"/>
        </w:rPr>
        <w:t xml:space="preserve"> , przy czym udziały i benchmarki świata są określone konsekwentnie, oraz aby wyraźnie odróżnić go od składnika międzygrupowego </w:t>
      </w:r>
      <w:proofErr w:type="spellStart"/>
      <w:r w:rsidRPr="00267F8C">
        <w:rPr>
          <w:rFonts w:ascii="Times New Roman" w:hAnsi="Times New Roman" w:cs="Times New Roman"/>
        </w:rPr>
        <w:t>S_g^c</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S_g^c</w:t>
      </w:r>
      <w:proofErr w:type="spellEnd"/>
      <w:r w:rsidRPr="00267F8C">
        <w:rPr>
          <w:rFonts w:ascii="Times New Roman" w:hAnsi="Times New Roman" w:cs="Times New Roman"/>
        </w:rPr>
        <w:t xml:space="preserve"> / </w:t>
      </w:r>
      <w:proofErr w:type="spellStart"/>
      <w:r w:rsidRPr="00267F8C">
        <w:rPr>
          <w:rFonts w:ascii="Times New Roman" w:hAnsi="Times New Roman" w:cs="Times New Roman"/>
        </w:rPr>
        <w:t>S_g^w</w:t>
      </w:r>
      <w:proofErr w:type="spellEnd"/>
      <w:r w:rsidRPr="00267F8C">
        <w:rPr>
          <w:rFonts w:ascii="Times New Roman" w:hAnsi="Times New Roman" w:cs="Times New Roman"/>
        </w:rPr>
        <w:t>). Ujednolicenie notacji w sekcji 3.3 z dekompozycją w sekcji 3.4 usunęłoby tę niejednoznaczność dotyczącą konstrukcji kluczowej zmiennej.</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267F8C">
        <w:rPr>
          <w:rFonts w:ascii="Times New Roman" w:hAnsi="Times New Roman" w:cs="Times New Roman"/>
        </w:rPr>
        <w:t>---</w:t>
      </w:r>
    </w:p>
    <w:p w:rsidR="00267F8C" w:rsidRPr="00267F8C" w:rsidRDefault="00267F8C" w:rsidP="00267F8C">
      <w:pPr>
        <w:rPr>
          <w:rFonts w:ascii="Times New Roman" w:hAnsi="Times New Roman" w:cs="Times New Roman"/>
        </w:rPr>
      </w:pPr>
    </w:p>
    <w:p w:rsidR="00267F8C" w:rsidRPr="00D03673" w:rsidRDefault="00267F8C" w:rsidP="00267F8C">
      <w:pPr>
        <w:rPr>
          <w:rFonts w:ascii="Times New Roman" w:hAnsi="Times New Roman" w:cs="Times New Roman"/>
          <w:b/>
        </w:rPr>
      </w:pPr>
      <w:r w:rsidRPr="00D03673">
        <w:rPr>
          <w:rFonts w:ascii="Times New Roman" w:hAnsi="Times New Roman" w:cs="Times New Roman"/>
          <w:b/>
        </w:rPr>
        <w:t>30. Notacja we wzorze RCA (sekcja: 3.3)</w:t>
      </w:r>
    </w:p>
    <w:p w:rsidR="00267F8C" w:rsidRPr="00267F8C" w:rsidRDefault="00267F8C" w:rsidP="00267F8C">
      <w:pPr>
        <w:rPr>
          <w:rFonts w:ascii="Times New Roman" w:hAnsi="Times New Roman" w:cs="Times New Roman"/>
        </w:rPr>
      </w:pPr>
      <w:r w:rsidRPr="00D03673">
        <w:rPr>
          <w:rFonts w:ascii="Times New Roman" w:hAnsi="Times New Roman" w:cs="Times New Roman"/>
          <w:b/>
        </w:rPr>
        <w:t>Cytat:</w:t>
      </w:r>
      <w:r w:rsidR="00D03673">
        <w:rPr>
          <w:rFonts w:ascii="Times New Roman" w:hAnsi="Times New Roman" w:cs="Times New Roman"/>
          <w:b/>
        </w:rPr>
        <w:t xml:space="preserve"> </w:t>
      </w:r>
      <w:r w:rsidRPr="00267F8C">
        <w:rPr>
          <w:rFonts w:ascii="Times New Roman" w:hAnsi="Times New Roman" w:cs="Times New Roman"/>
        </w:rPr>
        <w:t xml:space="preserve">Wskaźnik RCA zastosowany w tej rozprawie, oparty na oryginalnym indeksie </w:t>
      </w:r>
      <w:proofErr w:type="spellStart"/>
      <w:r w:rsidRPr="00267F8C">
        <w:rPr>
          <w:rFonts w:ascii="Times New Roman" w:hAnsi="Times New Roman" w:cs="Times New Roman"/>
        </w:rPr>
        <w:t>Balassy</w:t>
      </w:r>
      <w:proofErr w:type="spellEnd"/>
      <w:r w:rsidRPr="00267F8C">
        <w:rPr>
          <w:rFonts w:ascii="Times New Roman" w:hAnsi="Times New Roman" w:cs="Times New Roman"/>
        </w:rPr>
        <w:t>, oblicza się jako iloraz udziału danego produktu w całkowitym eksporcie kraju oraz udziału eksportu tego produktu w eksporcie światowym (</w:t>
      </w:r>
      <w:proofErr w:type="spellStart"/>
      <w:r w:rsidRPr="00267F8C">
        <w:rPr>
          <w:rFonts w:ascii="Times New Roman" w:hAnsi="Times New Roman" w:cs="Times New Roman"/>
        </w:rPr>
        <w:t>Halilbasic</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Brkic</w:t>
      </w:r>
      <w:proofErr w:type="spellEnd"/>
      <w:r w:rsidRPr="00267F8C">
        <w:rPr>
          <w:rFonts w:ascii="Times New Roman" w:hAnsi="Times New Roman" w:cs="Times New Roman"/>
        </w:rPr>
        <w:t>, 2017):</w:t>
      </w:r>
    </w:p>
    <w:p w:rsidR="00267F8C" w:rsidRPr="00267F8C" w:rsidRDefault="00267F8C" w:rsidP="00267F8C">
      <w:pPr>
        <w:rPr>
          <w:rFonts w:ascii="Times New Roman" w:hAnsi="Times New Roman" w:cs="Times New Roman"/>
        </w:rPr>
      </w:pPr>
    </w:p>
    <w:p w:rsidR="00267F8C" w:rsidRPr="00D03673" w:rsidRDefault="00D03673" w:rsidP="00267F8C">
      <w:pPr>
        <w:rPr>
          <w:rFonts w:ascii="Times New Roman" w:hAnsi="Times New Roman" w:cs="Times New Roman"/>
          <w:i/>
        </w:rPr>
      </w:pPr>
      <w:r w:rsidRPr="00D03673">
        <w:rPr>
          <w:rFonts w:ascii="Times New Roman" w:hAnsi="Times New Roman" w:cs="Times New Roman"/>
          <w:i/>
        </w:rPr>
        <w:t>WZÓR</w:t>
      </w:r>
    </w:p>
    <w:p w:rsidR="00267F8C" w:rsidRPr="00267F8C" w:rsidRDefault="00267F8C" w:rsidP="00267F8C">
      <w:pPr>
        <w:rPr>
          <w:rFonts w:ascii="Times New Roman" w:hAnsi="Times New Roman" w:cs="Times New Roman"/>
        </w:rPr>
      </w:pPr>
      <w:r w:rsidRPr="00267F8C">
        <w:rPr>
          <w:rFonts w:ascii="Times New Roman" w:hAnsi="Times New Roman" w:cs="Times New Roman"/>
        </w:rPr>
        <w:t>gdzie:</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267F8C">
        <w:rPr>
          <w:rFonts w:ascii="Times New Roman" w:hAnsi="Times New Roman" w:cs="Times New Roman"/>
        </w:rPr>
        <w:t xml:space="preserve"> </w:t>
      </w:r>
      <w:proofErr w:type="spellStart"/>
      <w:r w:rsidRPr="00267F8C">
        <w:rPr>
          <w:rFonts w:ascii="Times New Roman" w:hAnsi="Times New Roman" w:cs="Times New Roman"/>
        </w:rPr>
        <w:t>S_i,c</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S_i,w</w:t>
      </w:r>
      <w:proofErr w:type="spellEnd"/>
      <w:r w:rsidRPr="00267F8C">
        <w:rPr>
          <w:rFonts w:ascii="Times New Roman" w:hAnsi="Times New Roman" w:cs="Times New Roman"/>
        </w:rPr>
        <w:t xml:space="preserve"> — udział produktu  </w:t>
      </w:r>
      <w:r w:rsidRPr="00D03673">
        <w:rPr>
          <w:rFonts w:ascii="Times New Roman" w:hAnsi="Times New Roman" w:cs="Times New Roman"/>
          <w:i/>
        </w:rPr>
        <w:t xml:space="preserve">i </w:t>
      </w:r>
      <w:r w:rsidRPr="00267F8C">
        <w:rPr>
          <w:rFonts w:ascii="Times New Roman" w:hAnsi="Times New Roman" w:cs="Times New Roman"/>
        </w:rPr>
        <w:t xml:space="preserve"> w całkowitym eksporcie kraju  </w:t>
      </w:r>
      <w:r w:rsidRPr="00D03673">
        <w:rPr>
          <w:rFonts w:ascii="Times New Roman" w:hAnsi="Times New Roman" w:cs="Times New Roman"/>
          <w:i/>
        </w:rPr>
        <w:t>c</w:t>
      </w:r>
      <w:r w:rsidR="00D03673">
        <w:rPr>
          <w:rFonts w:ascii="Times New Roman" w:hAnsi="Times New Roman" w:cs="Times New Roman"/>
        </w:rPr>
        <w:t xml:space="preserve"> </w:t>
      </w:r>
      <w:r w:rsidRPr="00267F8C">
        <w:rPr>
          <w:rFonts w:ascii="Times New Roman" w:hAnsi="Times New Roman" w:cs="Times New Roman"/>
        </w:rPr>
        <w:t xml:space="preserve"> (świata  </w:t>
      </w:r>
      <w:r w:rsidRPr="00D03673">
        <w:rPr>
          <w:rFonts w:ascii="Times New Roman" w:hAnsi="Times New Roman" w:cs="Times New Roman"/>
          <w:i/>
        </w:rPr>
        <w:t>w</w:t>
      </w:r>
      <w:r w:rsidRPr="00267F8C">
        <w:rPr>
          <w:rFonts w:ascii="Times New Roman" w:hAnsi="Times New Roman" w:cs="Times New Roman"/>
        </w:rPr>
        <w:t xml:space="preserve"> ).</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D03673">
        <w:rPr>
          <w:rFonts w:ascii="Times New Roman" w:hAnsi="Times New Roman" w:cs="Times New Roman"/>
          <w:b/>
        </w:rPr>
        <w:t>Uwagi:</w:t>
      </w:r>
      <w:r w:rsidR="00D03673">
        <w:rPr>
          <w:rFonts w:ascii="Times New Roman" w:hAnsi="Times New Roman" w:cs="Times New Roman"/>
          <w:b/>
        </w:rPr>
        <w:t xml:space="preserve"> </w:t>
      </w:r>
      <w:r w:rsidRPr="00267F8C">
        <w:rPr>
          <w:rFonts w:ascii="Times New Roman" w:hAnsi="Times New Roman" w:cs="Times New Roman"/>
        </w:rPr>
        <w:t xml:space="preserve">W formalnej definicji wskaźnika RCA występują dwie drobne, ale zauważalne niespójności </w:t>
      </w:r>
      <w:proofErr w:type="spellStart"/>
      <w:r w:rsidRPr="00267F8C">
        <w:rPr>
          <w:rFonts w:ascii="Times New Roman" w:hAnsi="Times New Roman" w:cs="Times New Roman"/>
        </w:rPr>
        <w:t>notacyjne</w:t>
      </w:r>
      <w:proofErr w:type="spellEnd"/>
      <w:r w:rsidRPr="00267F8C">
        <w:rPr>
          <w:rFonts w:ascii="Times New Roman" w:hAnsi="Times New Roman" w:cs="Times New Roman"/>
        </w:rPr>
        <w:t xml:space="preserve">. Indeks jest obliczany dla konkretnego produktu i kraju, co wskazuje obecność  </w:t>
      </w:r>
      <w:r w:rsidRPr="00D03673">
        <w:rPr>
          <w:rFonts w:ascii="Times New Roman" w:hAnsi="Times New Roman" w:cs="Times New Roman"/>
          <w:i/>
        </w:rPr>
        <w:t>i</w:t>
      </w:r>
      <w:r w:rsidRPr="00267F8C">
        <w:rPr>
          <w:rFonts w:ascii="Times New Roman" w:hAnsi="Times New Roman" w:cs="Times New Roman"/>
        </w:rPr>
        <w:t xml:space="preserve"> i  </w:t>
      </w:r>
      <w:r w:rsidRPr="00D03673">
        <w:rPr>
          <w:rFonts w:ascii="Times New Roman" w:hAnsi="Times New Roman" w:cs="Times New Roman"/>
          <w:i/>
        </w:rPr>
        <w:t>c</w:t>
      </w:r>
      <w:r w:rsidRPr="00267F8C">
        <w:rPr>
          <w:rFonts w:ascii="Times New Roman" w:hAnsi="Times New Roman" w:cs="Times New Roman"/>
        </w:rPr>
        <w:t xml:space="preserve">  po prawej stronie (np. </w:t>
      </w:r>
      <w:proofErr w:type="spellStart"/>
      <w:r w:rsidRPr="004B7076">
        <w:rPr>
          <w:rFonts w:ascii="Times New Roman" w:hAnsi="Times New Roman" w:cs="Times New Roman"/>
          <w:i/>
        </w:rPr>
        <w:t>E_i,c</w:t>
      </w:r>
      <w:proofErr w:type="spellEnd"/>
      <w:r w:rsidRPr="00267F8C">
        <w:rPr>
          <w:rFonts w:ascii="Times New Roman" w:hAnsi="Times New Roman" w:cs="Times New Roman"/>
        </w:rPr>
        <w:t xml:space="preserve">), dlatego lewa strona powinna być zapisana raczej jako </w:t>
      </w:r>
      <w:r w:rsidRPr="004B7076">
        <w:rPr>
          <w:rFonts w:ascii="Times New Roman" w:hAnsi="Times New Roman" w:cs="Times New Roman"/>
          <w:i/>
        </w:rPr>
        <w:t xml:space="preserve">( </w:t>
      </w:r>
      <w:proofErr w:type="spellStart"/>
      <w:r w:rsidRPr="004B7076">
        <w:rPr>
          <w:rFonts w:ascii="Times New Roman" w:hAnsi="Times New Roman" w:cs="Times New Roman"/>
          <w:i/>
        </w:rPr>
        <w:t>RCA_i,c</w:t>
      </w:r>
      <w:proofErr w:type="spellEnd"/>
      <w:r w:rsidRPr="004B7076">
        <w:rPr>
          <w:rFonts w:ascii="Times New Roman" w:hAnsi="Times New Roman" w:cs="Times New Roman"/>
          <w:i/>
        </w:rPr>
        <w:t xml:space="preserve"> ),</w:t>
      </w:r>
      <w:r w:rsidRPr="00267F8C">
        <w:rPr>
          <w:rFonts w:ascii="Times New Roman" w:hAnsi="Times New Roman" w:cs="Times New Roman"/>
        </w:rPr>
        <w:t xml:space="preserve"> a nie ( </w:t>
      </w:r>
      <w:proofErr w:type="spellStart"/>
      <w:r w:rsidRPr="004B7076">
        <w:rPr>
          <w:rFonts w:ascii="Times New Roman" w:hAnsi="Times New Roman" w:cs="Times New Roman"/>
          <w:i/>
        </w:rPr>
        <w:t>RCA_c</w:t>
      </w:r>
      <w:proofErr w:type="spellEnd"/>
      <w:r w:rsidRPr="00267F8C">
        <w:rPr>
          <w:rFonts w:ascii="Times New Roman" w:hAnsi="Times New Roman" w:cs="Times New Roman"/>
        </w:rPr>
        <w:t xml:space="preserve"> ).</w:t>
      </w:r>
    </w:p>
    <w:p w:rsidR="00267F8C" w:rsidRPr="00267F8C" w:rsidRDefault="00267F8C" w:rsidP="00267F8C">
      <w:pPr>
        <w:rPr>
          <w:rFonts w:ascii="Times New Roman" w:hAnsi="Times New Roman" w:cs="Times New Roman"/>
        </w:rPr>
      </w:pPr>
    </w:p>
    <w:p w:rsidR="000A1B1B" w:rsidRDefault="00267F8C" w:rsidP="00267F8C">
      <w:pPr>
        <w:rPr>
          <w:rFonts w:ascii="Times New Roman" w:hAnsi="Times New Roman" w:cs="Times New Roman"/>
        </w:rPr>
      </w:pPr>
      <w:r w:rsidRPr="00267F8C">
        <w:rPr>
          <w:rFonts w:ascii="Times New Roman" w:hAnsi="Times New Roman" w:cs="Times New Roman"/>
        </w:rPr>
        <w:t>Ponadto w zwartej postaci wyrażenia użyto małej litery  s</w:t>
      </w:r>
      <w:r w:rsidR="004B7076">
        <w:rPr>
          <w:rFonts w:ascii="Times New Roman" w:hAnsi="Times New Roman" w:cs="Times New Roman"/>
        </w:rPr>
        <w:t xml:space="preserve"> </w:t>
      </w:r>
      <w:proofErr w:type="spellStart"/>
      <w:r w:rsidRPr="004B7076">
        <w:rPr>
          <w:rFonts w:ascii="Times New Roman" w:hAnsi="Times New Roman" w:cs="Times New Roman"/>
          <w:vertAlign w:val="subscript"/>
        </w:rPr>
        <w:t>i,c</w:t>
      </w:r>
      <w:proofErr w:type="spellEnd"/>
      <w:r w:rsidRPr="00267F8C">
        <w:rPr>
          <w:rFonts w:ascii="Times New Roman" w:hAnsi="Times New Roman" w:cs="Times New Roman"/>
        </w:rPr>
        <w:t xml:space="preserve"> w liczniku, mimo że lista zmiennych bezpośrednio poniżej definiuje udziały eksportu jako S</w:t>
      </w:r>
      <w:r w:rsidR="004B7076">
        <w:rPr>
          <w:rFonts w:ascii="Times New Roman" w:hAnsi="Times New Roman" w:cs="Times New Roman"/>
        </w:rPr>
        <w:t xml:space="preserve"> </w:t>
      </w:r>
      <w:proofErr w:type="spellStart"/>
      <w:r w:rsidRPr="004B7076">
        <w:rPr>
          <w:rFonts w:ascii="Times New Roman" w:hAnsi="Times New Roman" w:cs="Times New Roman"/>
          <w:vertAlign w:val="subscript"/>
        </w:rPr>
        <w:t>i,c</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S_</w:t>
      </w:r>
      <w:r w:rsidRPr="004B7076">
        <w:rPr>
          <w:rFonts w:ascii="Times New Roman" w:hAnsi="Times New Roman" w:cs="Times New Roman"/>
          <w:vertAlign w:val="subscript"/>
        </w:rPr>
        <w:t>i,w</w:t>
      </w:r>
      <w:proofErr w:type="spellEnd"/>
      <w:r w:rsidRPr="00267F8C">
        <w:rPr>
          <w:rFonts w:ascii="Times New Roman" w:hAnsi="Times New Roman" w:cs="Times New Roman"/>
        </w:rPr>
        <w:t xml:space="preserve">. Zastosowanie spójnej struktury indeksów w </w:t>
      </w:r>
      <w:r w:rsidRPr="004B7076">
        <w:rPr>
          <w:rFonts w:ascii="Times New Roman" w:hAnsi="Times New Roman" w:cs="Times New Roman"/>
          <w:i/>
        </w:rPr>
        <w:t>RCA</w:t>
      </w:r>
      <w:r w:rsidRPr="00267F8C">
        <w:rPr>
          <w:rFonts w:ascii="Times New Roman" w:hAnsi="Times New Roman" w:cs="Times New Roman"/>
        </w:rPr>
        <w:t xml:space="preserve"> oraz jednego symbolu (albo ( s ), albo ( S )) dla udziałów eksportu zarówno we wzorze, jak i w definicjach, usunęłoby to drobne źródło niejasności w skądinąd standardowej definicji.</w:t>
      </w:r>
    </w:p>
    <w:p w:rsidR="004B7076" w:rsidRPr="00267F8C" w:rsidRDefault="004B7076" w:rsidP="00267F8C">
      <w:pPr>
        <w:rPr>
          <w:rFonts w:ascii="Times New Roman" w:hAnsi="Times New Roman" w:cs="Times New Roman"/>
        </w:rPr>
      </w:pPr>
      <w:r>
        <w:rPr>
          <w:rFonts w:ascii="Times New Roman" w:hAnsi="Times New Roman" w:cs="Times New Roman"/>
        </w:rPr>
        <w:t>---</w:t>
      </w:r>
    </w:p>
    <w:p w:rsidR="004B7076" w:rsidRDefault="004B7076" w:rsidP="000A1B1B">
      <w:pPr>
        <w:rPr>
          <w:rFonts w:ascii="Times New Roman" w:hAnsi="Times New Roman" w:cs="Times New Roman"/>
        </w:rPr>
      </w:pPr>
    </w:p>
    <w:p w:rsidR="002948B7" w:rsidRPr="004B7076" w:rsidRDefault="000A1B1B" w:rsidP="000A1B1B">
      <w:pPr>
        <w:rPr>
          <w:rFonts w:ascii="Times New Roman" w:hAnsi="Times New Roman" w:cs="Times New Roman"/>
          <w:b/>
        </w:rPr>
      </w:pPr>
      <w:r w:rsidRPr="004B7076">
        <w:rPr>
          <w:rFonts w:ascii="Times New Roman" w:hAnsi="Times New Roman" w:cs="Times New Roman"/>
          <w:b/>
        </w:rPr>
        <w:t xml:space="preserve">31. Niejednoznaczność w definicji absolutnego indeksu </w:t>
      </w:r>
      <w:proofErr w:type="spellStart"/>
      <w:r w:rsidRPr="004B7076">
        <w:rPr>
          <w:rFonts w:ascii="Times New Roman" w:hAnsi="Times New Roman" w:cs="Times New Roman"/>
          <w:b/>
        </w:rPr>
        <w:t>Theila</w:t>
      </w:r>
      <w:proofErr w:type="spellEnd"/>
    </w:p>
    <w:p w:rsidR="00267F8C" w:rsidRPr="00267F8C" w:rsidRDefault="00267F8C" w:rsidP="00267F8C">
      <w:pPr>
        <w:rPr>
          <w:rFonts w:ascii="Times New Roman" w:hAnsi="Times New Roman" w:cs="Times New Roman"/>
        </w:rPr>
      </w:pPr>
      <w:r w:rsidRPr="004B7076">
        <w:rPr>
          <w:rFonts w:ascii="Times New Roman" w:hAnsi="Times New Roman" w:cs="Times New Roman"/>
          <w:b/>
        </w:rPr>
        <w:t>Cytat:</w:t>
      </w:r>
      <w:r w:rsidR="004B7076">
        <w:rPr>
          <w:rFonts w:ascii="Times New Roman" w:hAnsi="Times New Roman" w:cs="Times New Roman"/>
          <w:b/>
        </w:rPr>
        <w:t xml:space="preserve"> </w:t>
      </w:r>
      <w:r w:rsidRPr="00267F8C">
        <w:rPr>
          <w:rFonts w:ascii="Times New Roman" w:hAnsi="Times New Roman" w:cs="Times New Roman"/>
        </w:rPr>
        <w:t xml:space="preserve">Bezwzględna (nieważona) wersja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zastosowana w tej rozprawie opiera się na indeksie entropii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(jak w </w:t>
      </w:r>
      <w:proofErr w:type="spellStart"/>
      <w:r w:rsidRPr="00267F8C">
        <w:rPr>
          <w:rFonts w:ascii="Times New Roman" w:hAnsi="Times New Roman" w:cs="Times New Roman"/>
        </w:rPr>
        <w:t>Cadot</w:t>
      </w:r>
      <w:proofErr w:type="spellEnd"/>
      <w:r w:rsidRPr="00267F8C">
        <w:rPr>
          <w:rFonts w:ascii="Times New Roman" w:hAnsi="Times New Roman" w:cs="Times New Roman"/>
        </w:rPr>
        <w:t xml:space="preserve"> i in., 2011a) i została obliczona przy użyciu modułu oprogramowania </w:t>
      </w:r>
      <w:proofErr w:type="spellStart"/>
      <w:r w:rsidRPr="00267F8C">
        <w:rPr>
          <w:rFonts w:ascii="Times New Roman" w:hAnsi="Times New Roman" w:cs="Times New Roman"/>
        </w:rPr>
        <w:t>Stata</w:t>
      </w:r>
      <w:proofErr w:type="spellEnd"/>
      <w:r w:rsidRPr="00267F8C">
        <w:rPr>
          <w:rFonts w:ascii="Times New Roman" w:hAnsi="Times New Roman" w:cs="Times New Roman"/>
        </w:rPr>
        <w:t xml:space="preserve"> EGEN_INEQUAL, który umożliwia rozszerzenia do generowania miar nierówności i ubóstwa (</w:t>
      </w:r>
      <w:proofErr w:type="spellStart"/>
      <w:r w:rsidRPr="00267F8C">
        <w:rPr>
          <w:rFonts w:ascii="Times New Roman" w:hAnsi="Times New Roman" w:cs="Times New Roman"/>
        </w:rPr>
        <w:t>Lokshtin</w:t>
      </w:r>
      <w:proofErr w:type="spellEnd"/>
      <w:r w:rsidRPr="00267F8C">
        <w:rPr>
          <w:rFonts w:ascii="Times New Roman" w:hAnsi="Times New Roman" w:cs="Times New Roman"/>
        </w:rPr>
        <w:t xml:space="preserve"> &amp; </w:t>
      </w:r>
      <w:proofErr w:type="spellStart"/>
      <w:r w:rsidRPr="00267F8C">
        <w:rPr>
          <w:rFonts w:ascii="Times New Roman" w:hAnsi="Times New Roman" w:cs="Times New Roman"/>
        </w:rPr>
        <w:t>Sajaia</w:t>
      </w:r>
      <w:proofErr w:type="spellEnd"/>
      <w:r w:rsidRPr="00267F8C">
        <w:rPr>
          <w:rFonts w:ascii="Times New Roman" w:hAnsi="Times New Roman" w:cs="Times New Roman"/>
        </w:rPr>
        <w:t>, 2006):</w:t>
      </w:r>
    </w:p>
    <w:p w:rsidR="00267F8C" w:rsidRPr="00267F8C" w:rsidRDefault="00267F8C" w:rsidP="00267F8C">
      <w:pPr>
        <w:rPr>
          <w:rFonts w:ascii="Times New Roman" w:hAnsi="Times New Roman" w:cs="Times New Roman"/>
        </w:rPr>
      </w:pPr>
    </w:p>
    <w:p w:rsidR="00267F8C" w:rsidRPr="004B7076" w:rsidRDefault="004B7076" w:rsidP="00267F8C">
      <w:pPr>
        <w:rPr>
          <w:rFonts w:ascii="Times New Roman" w:hAnsi="Times New Roman" w:cs="Times New Roman"/>
          <w:i/>
        </w:rPr>
      </w:pPr>
      <w:r w:rsidRPr="004B7076">
        <w:rPr>
          <w:rFonts w:ascii="Times New Roman" w:hAnsi="Times New Roman" w:cs="Times New Roman"/>
          <w:i/>
        </w:rPr>
        <w:t>WZÓR</w:t>
      </w:r>
    </w:p>
    <w:p w:rsidR="00267F8C" w:rsidRPr="00267F8C" w:rsidRDefault="00267F8C" w:rsidP="00267F8C">
      <w:pPr>
        <w:rPr>
          <w:rFonts w:ascii="Times New Roman" w:hAnsi="Times New Roman" w:cs="Times New Roman"/>
        </w:rPr>
      </w:pPr>
      <w:r w:rsidRPr="00267F8C">
        <w:rPr>
          <w:rFonts w:ascii="Times New Roman" w:hAnsi="Times New Roman" w:cs="Times New Roman"/>
        </w:rPr>
        <w:t>gdzie:</w:t>
      </w:r>
    </w:p>
    <w:p w:rsidR="00267F8C" w:rsidRPr="00267F8C" w:rsidRDefault="00267F8C" w:rsidP="00267F8C">
      <w:pPr>
        <w:rPr>
          <w:rFonts w:ascii="Times New Roman" w:hAnsi="Times New Roman" w:cs="Times New Roman"/>
        </w:rPr>
      </w:pPr>
    </w:p>
    <w:p w:rsidR="00E42A9E" w:rsidRDefault="004B7076" w:rsidP="00267F8C">
      <w:pPr>
        <w:rPr>
          <w:rFonts w:ascii="Times New Roman" w:hAnsi="Times New Roman" w:cs="Times New Roman"/>
        </w:rPr>
      </w:pPr>
      <w:r>
        <w:rPr>
          <w:rFonts w:ascii="Times New Roman" w:hAnsi="Times New Roman" w:cs="Times New Roman"/>
        </w:rPr>
        <w:sym w:font="Symbol" w:char="F020"/>
      </w:r>
      <w:r w:rsidR="00267F8C" w:rsidRPr="00267F8C">
        <w:rPr>
          <w:rFonts w:ascii="Times New Roman" w:hAnsi="Times New Roman" w:cs="Times New Roman"/>
        </w:rPr>
        <w:t xml:space="preserve"> </w:t>
      </w:r>
      <w:r>
        <w:rPr>
          <w:rFonts w:ascii="Times New Roman" w:hAnsi="Times New Roman" w:cs="Times New Roman"/>
        </w:rPr>
        <w:sym w:font="Symbol" w:char="F06D"/>
      </w:r>
      <w:r w:rsidR="00267F8C" w:rsidRPr="00267F8C">
        <w:rPr>
          <w:rFonts w:ascii="Times New Roman" w:hAnsi="Times New Roman" w:cs="Times New Roman"/>
        </w:rPr>
        <w:t xml:space="preserve"> = \</w:t>
      </w:r>
    </w:p>
    <w:p w:rsidR="00267F8C" w:rsidRPr="00267F8C" w:rsidRDefault="00267F8C" w:rsidP="00267F8C">
      <w:pPr>
        <w:rPr>
          <w:rFonts w:ascii="Times New Roman" w:hAnsi="Times New Roman" w:cs="Times New Roman"/>
        </w:rPr>
      </w:pPr>
      <w:r w:rsidRPr="00E42A9E">
        <w:rPr>
          <w:rFonts w:ascii="Times New Roman" w:hAnsi="Times New Roman" w:cs="Times New Roman"/>
          <w:i/>
        </w:rPr>
        <w:t>n</w:t>
      </w:r>
      <w:r w:rsidRPr="00267F8C">
        <w:rPr>
          <w:rFonts w:ascii="Times New Roman" w:hAnsi="Times New Roman" w:cs="Times New Roman"/>
        </w:rPr>
        <w:t xml:space="preserve">  — całkowita liczba produktów eksportowanych w analizowanej grupie krajów.</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E42A9E">
        <w:rPr>
          <w:rFonts w:ascii="Times New Roman" w:hAnsi="Times New Roman" w:cs="Times New Roman"/>
          <w:b/>
        </w:rPr>
        <w:t>Uwagi</w:t>
      </w:r>
      <w:r w:rsidRPr="00267F8C">
        <w:rPr>
          <w:rFonts w:ascii="Times New Roman" w:hAnsi="Times New Roman" w:cs="Times New Roman"/>
        </w:rPr>
        <w:t>:</w:t>
      </w:r>
      <w:r w:rsidR="00E42A9E">
        <w:rPr>
          <w:rFonts w:ascii="Times New Roman" w:hAnsi="Times New Roman" w:cs="Times New Roman"/>
        </w:rPr>
        <w:t xml:space="preserve"> </w:t>
      </w:r>
      <w:r w:rsidRPr="00267F8C">
        <w:rPr>
          <w:rFonts w:ascii="Times New Roman" w:hAnsi="Times New Roman" w:cs="Times New Roman"/>
        </w:rPr>
        <w:t xml:space="preserve">Na początku definicja  </w:t>
      </w:r>
      <w:r w:rsidRPr="00E42A9E">
        <w:rPr>
          <w:rFonts w:ascii="Times New Roman" w:hAnsi="Times New Roman" w:cs="Times New Roman"/>
          <w:i/>
        </w:rPr>
        <w:t>n</w:t>
      </w:r>
      <w:r w:rsidRPr="00267F8C">
        <w:rPr>
          <w:rFonts w:ascii="Times New Roman" w:hAnsi="Times New Roman" w:cs="Times New Roman"/>
        </w:rPr>
        <w:t xml:space="preserve">  we wzorze bezwzględnego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sugerowała mi, że może</w:t>
      </w:r>
      <w:r w:rsidR="00E42A9E">
        <w:rPr>
          <w:rFonts w:ascii="Times New Roman" w:hAnsi="Times New Roman" w:cs="Times New Roman"/>
        </w:rPr>
        <w:t xml:space="preserve"> Pani</w:t>
      </w:r>
      <w:r w:rsidRPr="00267F8C">
        <w:rPr>
          <w:rFonts w:ascii="Times New Roman" w:hAnsi="Times New Roman" w:cs="Times New Roman"/>
        </w:rPr>
        <w:t xml:space="preserve"> używać wartości specyficznej dla kraju  </w:t>
      </w:r>
      <w:proofErr w:type="spellStart"/>
      <w:r w:rsidRPr="00E42A9E">
        <w:rPr>
          <w:rFonts w:ascii="Times New Roman" w:hAnsi="Times New Roman" w:cs="Times New Roman"/>
          <w:i/>
        </w:rPr>
        <w:t>n</w:t>
      </w:r>
      <w:r w:rsidRPr="00E42A9E">
        <w:rPr>
          <w:rFonts w:ascii="Times New Roman" w:hAnsi="Times New Roman" w:cs="Times New Roman"/>
          <w:i/>
          <w:vertAlign w:val="subscript"/>
        </w:rPr>
        <w:t>c</w:t>
      </w:r>
      <w:proofErr w:type="spellEnd"/>
      <w:r w:rsidRPr="00267F8C">
        <w:rPr>
          <w:rFonts w:ascii="Times New Roman" w:hAnsi="Times New Roman" w:cs="Times New Roman"/>
        </w:rPr>
        <w:t xml:space="preserve">  (liczby produktów eksportowanych przez dany kraj), podczas gdy zwykle spotyka się indeks zdefiniowany albo z </w:t>
      </w:r>
      <w:proofErr w:type="spellStart"/>
      <w:r w:rsidR="00E42A9E" w:rsidRPr="00E42A9E">
        <w:rPr>
          <w:rFonts w:ascii="Times New Roman" w:hAnsi="Times New Roman" w:cs="Times New Roman"/>
          <w:i/>
        </w:rPr>
        <w:t>n</w:t>
      </w:r>
      <w:r w:rsidR="00E42A9E" w:rsidRPr="00E42A9E">
        <w:rPr>
          <w:rFonts w:ascii="Times New Roman" w:hAnsi="Times New Roman" w:cs="Times New Roman"/>
          <w:i/>
          <w:vertAlign w:val="subscript"/>
        </w:rPr>
        <w:t>c</w:t>
      </w:r>
      <w:proofErr w:type="spellEnd"/>
      <w:r w:rsidR="00E42A9E" w:rsidRPr="00267F8C">
        <w:rPr>
          <w:rFonts w:ascii="Times New Roman" w:hAnsi="Times New Roman" w:cs="Times New Roman"/>
        </w:rPr>
        <w:t xml:space="preserve"> </w:t>
      </w:r>
      <w:r w:rsidR="00E42A9E">
        <w:rPr>
          <w:rFonts w:ascii="Times New Roman" w:hAnsi="Times New Roman" w:cs="Times New Roman"/>
        </w:rPr>
        <w:t xml:space="preserve">, </w:t>
      </w:r>
      <w:r w:rsidRPr="00267F8C">
        <w:rPr>
          <w:rFonts w:ascii="Times New Roman" w:hAnsi="Times New Roman" w:cs="Times New Roman"/>
        </w:rPr>
        <w:t>albo przy założeniu stałego zbioru produktów. Następnie z sekcji 3.1 zrozumiałem, że konstruuje</w:t>
      </w:r>
      <w:r w:rsidR="00E42A9E">
        <w:rPr>
          <w:rFonts w:ascii="Times New Roman" w:hAnsi="Times New Roman" w:cs="Times New Roman"/>
        </w:rPr>
        <w:t xml:space="preserve"> Pani</w:t>
      </w:r>
      <w:r w:rsidRPr="00267F8C">
        <w:rPr>
          <w:rFonts w:ascii="Times New Roman" w:hAnsi="Times New Roman" w:cs="Times New Roman"/>
        </w:rPr>
        <w:t xml:space="preserve"> </w:t>
      </w:r>
      <w:r w:rsidRPr="00267F8C">
        <w:rPr>
          <w:rFonts w:ascii="Times New Roman" w:hAnsi="Times New Roman" w:cs="Times New Roman"/>
        </w:rPr>
        <w:lastRenderedPageBreak/>
        <w:t xml:space="preserve">zbilansowany zbiór danych ze wspólnym zestawem kodów produktów HS6 dla wszystkich krajów i lat, a </w:t>
      </w:r>
      <w:r w:rsidRPr="00E42A9E">
        <w:rPr>
          <w:rFonts w:ascii="Times New Roman" w:hAnsi="Times New Roman" w:cs="Times New Roman"/>
          <w:i/>
        </w:rPr>
        <w:t xml:space="preserve"> n </w:t>
      </w:r>
      <w:r w:rsidRPr="00267F8C">
        <w:rPr>
          <w:rFonts w:ascii="Times New Roman" w:hAnsi="Times New Roman" w:cs="Times New Roman"/>
        </w:rPr>
        <w:t xml:space="preserve"> ma oznaczać tę stałą liczbę pozycji produktowych.</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267F8C">
        <w:rPr>
          <w:rFonts w:ascii="Times New Roman" w:hAnsi="Times New Roman" w:cs="Times New Roman"/>
        </w:rPr>
        <w:t xml:space="preserve">W związku z tym definicja jest wewnętrznie spójna, a implementację można zasadniczo odtworzyć przy użyciu EGEN_INEQUAL. Nadal jednak pomocne byłoby dla przyszłych czytelników bardziej jednoznaczne wyjaśnienie tego miejsca (np. poprzez wskazanie, że  </w:t>
      </w:r>
      <w:r w:rsidRPr="00E42A9E">
        <w:rPr>
          <w:rFonts w:ascii="Times New Roman" w:hAnsi="Times New Roman" w:cs="Times New Roman"/>
          <w:i/>
        </w:rPr>
        <w:t>n</w:t>
      </w:r>
      <w:r w:rsidRPr="00267F8C">
        <w:rPr>
          <w:rFonts w:ascii="Times New Roman" w:hAnsi="Times New Roman" w:cs="Times New Roman"/>
        </w:rPr>
        <w:t xml:space="preserve">  to liczba kodów HS6 we wspólnym zbiorze produktów, stała dla krajów i lat, oraz czy wiersze z zerowym eksportem są traktowane jako zera, czy jako brakujące). Pozwoliłoby to w pełni doprecyzować normalizację bezwzględnego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bez zmiany wyników empirycznych.</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267F8C">
        <w:rPr>
          <w:rFonts w:ascii="Times New Roman" w:hAnsi="Times New Roman" w:cs="Times New Roman"/>
        </w:rPr>
        <w:t>---</w:t>
      </w:r>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E42A9E">
        <w:rPr>
          <w:rFonts w:ascii="Times New Roman" w:hAnsi="Times New Roman" w:cs="Times New Roman"/>
          <w:b/>
        </w:rPr>
        <w:t xml:space="preserve">32. Drobne niespójności w prezentacji względnego indeksu </w:t>
      </w:r>
      <w:proofErr w:type="spellStart"/>
      <w:r w:rsidRPr="00E42A9E">
        <w:rPr>
          <w:rFonts w:ascii="Times New Roman" w:hAnsi="Times New Roman" w:cs="Times New Roman"/>
          <w:b/>
        </w:rPr>
        <w:t>Theila</w:t>
      </w:r>
      <w:proofErr w:type="spellEnd"/>
    </w:p>
    <w:p w:rsidR="00267F8C" w:rsidRPr="00267F8C" w:rsidRDefault="00267F8C" w:rsidP="00267F8C">
      <w:pPr>
        <w:rPr>
          <w:rFonts w:ascii="Times New Roman" w:hAnsi="Times New Roman" w:cs="Times New Roman"/>
        </w:rPr>
      </w:pPr>
    </w:p>
    <w:p w:rsidR="00267F8C" w:rsidRPr="00267F8C" w:rsidRDefault="00267F8C" w:rsidP="00267F8C">
      <w:pPr>
        <w:rPr>
          <w:rFonts w:ascii="Times New Roman" w:hAnsi="Times New Roman" w:cs="Times New Roman"/>
        </w:rPr>
      </w:pPr>
      <w:r w:rsidRPr="00E42A9E">
        <w:rPr>
          <w:rFonts w:ascii="Times New Roman" w:hAnsi="Times New Roman" w:cs="Times New Roman"/>
          <w:b/>
        </w:rPr>
        <w:t>Cytat:</w:t>
      </w:r>
      <w:r w:rsidR="00E42A9E">
        <w:rPr>
          <w:rFonts w:ascii="Times New Roman" w:hAnsi="Times New Roman" w:cs="Times New Roman"/>
          <w:b/>
        </w:rPr>
        <w:t xml:space="preserve"> </w:t>
      </w:r>
      <w:r w:rsidRPr="00267F8C">
        <w:rPr>
          <w:rFonts w:ascii="Times New Roman" w:hAnsi="Times New Roman" w:cs="Times New Roman"/>
        </w:rPr>
        <w:t xml:space="preserve">Jak wskazują </w:t>
      </w:r>
      <w:proofErr w:type="spellStart"/>
      <w:r w:rsidRPr="00267F8C">
        <w:rPr>
          <w:rFonts w:ascii="Times New Roman" w:hAnsi="Times New Roman" w:cs="Times New Roman"/>
        </w:rPr>
        <w:t>Gnitchenko</w:t>
      </w:r>
      <w:proofErr w:type="spellEnd"/>
      <w:r w:rsidRPr="00267F8C">
        <w:rPr>
          <w:rFonts w:ascii="Times New Roman" w:hAnsi="Times New Roman" w:cs="Times New Roman"/>
        </w:rPr>
        <w:t xml:space="preserve"> (2021) oraz Parteka i </w:t>
      </w:r>
      <w:proofErr w:type="spellStart"/>
      <w:r w:rsidRPr="00267F8C">
        <w:rPr>
          <w:rFonts w:ascii="Times New Roman" w:hAnsi="Times New Roman" w:cs="Times New Roman"/>
        </w:rPr>
        <w:t>Tamberi</w:t>
      </w:r>
      <w:proofErr w:type="spellEnd"/>
      <w:r w:rsidRPr="00267F8C">
        <w:rPr>
          <w:rFonts w:ascii="Times New Roman" w:hAnsi="Times New Roman" w:cs="Times New Roman"/>
        </w:rPr>
        <w:t xml:space="preserve"> (2013a), miary względne są bardziej odpowiednie do analizy dywersyfikacji eksportu w danych panelowych, ponieważ porównują strukturę eksportu danego kraju ze wspólnym benchmarkiem (czyli resztą rozważanych krajów). Względny indeks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dla kraju  </w:t>
      </w:r>
      <w:r w:rsidRPr="00E42A9E">
        <w:rPr>
          <w:rFonts w:ascii="Times New Roman" w:hAnsi="Times New Roman" w:cs="Times New Roman"/>
          <w:i/>
        </w:rPr>
        <w:t>c</w:t>
      </w:r>
      <w:r w:rsidRPr="00267F8C">
        <w:rPr>
          <w:rFonts w:ascii="Times New Roman" w:hAnsi="Times New Roman" w:cs="Times New Roman"/>
        </w:rPr>
        <w:t xml:space="preserve">  i produktu  </w:t>
      </w:r>
      <w:r w:rsidRPr="00E42A9E">
        <w:rPr>
          <w:rFonts w:ascii="Times New Roman" w:hAnsi="Times New Roman" w:cs="Times New Roman"/>
          <w:i/>
        </w:rPr>
        <w:t xml:space="preserve">i </w:t>
      </w:r>
      <w:r w:rsidRPr="00267F8C">
        <w:rPr>
          <w:rFonts w:ascii="Times New Roman" w:hAnsi="Times New Roman" w:cs="Times New Roman"/>
        </w:rPr>
        <w:t xml:space="preserve"> oblicza się według </w:t>
      </w:r>
      <w:proofErr w:type="spellStart"/>
      <w:r w:rsidRPr="00267F8C">
        <w:rPr>
          <w:rFonts w:ascii="Times New Roman" w:hAnsi="Times New Roman" w:cs="Times New Roman"/>
        </w:rPr>
        <w:t>Gnitchenko</w:t>
      </w:r>
      <w:proofErr w:type="spellEnd"/>
      <w:r w:rsidRPr="00267F8C">
        <w:rPr>
          <w:rFonts w:ascii="Times New Roman" w:hAnsi="Times New Roman" w:cs="Times New Roman"/>
        </w:rPr>
        <w:t xml:space="preserve"> (2021):</w:t>
      </w:r>
    </w:p>
    <w:p w:rsidR="00267F8C" w:rsidRPr="00267F8C" w:rsidRDefault="00267F8C" w:rsidP="00267F8C">
      <w:pPr>
        <w:rPr>
          <w:rFonts w:ascii="Times New Roman" w:hAnsi="Times New Roman" w:cs="Times New Roman"/>
        </w:rPr>
      </w:pPr>
    </w:p>
    <w:p w:rsidR="00267F8C" w:rsidRPr="00E42A9E" w:rsidRDefault="00E42A9E" w:rsidP="00267F8C">
      <w:pPr>
        <w:rPr>
          <w:rFonts w:ascii="Times New Roman" w:hAnsi="Times New Roman" w:cs="Times New Roman"/>
          <w:i/>
        </w:rPr>
      </w:pPr>
      <w:r w:rsidRPr="00E42A9E">
        <w:rPr>
          <w:rFonts w:ascii="Times New Roman" w:hAnsi="Times New Roman" w:cs="Times New Roman"/>
          <w:i/>
        </w:rPr>
        <w:t>WZÓR</w:t>
      </w:r>
    </w:p>
    <w:p w:rsidR="00267F8C" w:rsidRPr="00267F8C" w:rsidRDefault="00267F8C" w:rsidP="00267F8C">
      <w:pPr>
        <w:rPr>
          <w:rFonts w:ascii="Times New Roman" w:hAnsi="Times New Roman" w:cs="Times New Roman"/>
        </w:rPr>
      </w:pPr>
      <w:r w:rsidRPr="00E42A9E">
        <w:rPr>
          <w:rFonts w:ascii="Times New Roman" w:hAnsi="Times New Roman" w:cs="Times New Roman"/>
          <w:b/>
        </w:rPr>
        <w:t>Uwagi:</w:t>
      </w:r>
      <w:r w:rsidR="00E42A9E">
        <w:rPr>
          <w:rFonts w:ascii="Times New Roman" w:hAnsi="Times New Roman" w:cs="Times New Roman"/>
          <w:b/>
        </w:rPr>
        <w:t xml:space="preserve"> </w:t>
      </w:r>
      <w:r w:rsidRPr="00267F8C">
        <w:rPr>
          <w:rFonts w:ascii="Times New Roman" w:hAnsi="Times New Roman" w:cs="Times New Roman"/>
        </w:rPr>
        <w:t xml:space="preserve">Główna definicja względnego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mogłaby zostać doprecyzowana w dwóch drobnych kwestiach. Obecnie tekst stwierdza, że dotyczy ona „kraju  </w:t>
      </w:r>
      <w:r w:rsidRPr="00E42A9E">
        <w:rPr>
          <w:rFonts w:ascii="Times New Roman" w:hAnsi="Times New Roman" w:cs="Times New Roman"/>
          <w:i/>
        </w:rPr>
        <w:t>c</w:t>
      </w:r>
      <w:r w:rsidRPr="00267F8C">
        <w:rPr>
          <w:rFonts w:ascii="Times New Roman" w:hAnsi="Times New Roman" w:cs="Times New Roman"/>
        </w:rPr>
        <w:t xml:space="preserve">  i produktu  </w:t>
      </w:r>
      <w:r w:rsidRPr="00E42A9E">
        <w:rPr>
          <w:rFonts w:ascii="Times New Roman" w:hAnsi="Times New Roman" w:cs="Times New Roman"/>
          <w:i/>
        </w:rPr>
        <w:t>i</w:t>
      </w:r>
      <w:r w:rsidRPr="00267F8C">
        <w:rPr>
          <w:rFonts w:ascii="Times New Roman" w:hAnsi="Times New Roman" w:cs="Times New Roman"/>
        </w:rPr>
        <w:t xml:space="preserve"> ”, jednak wzór definiuje  </w:t>
      </w:r>
      <w:proofErr w:type="spellStart"/>
      <w:r w:rsidRPr="00E42A9E">
        <w:rPr>
          <w:rFonts w:ascii="Times New Roman" w:hAnsi="Times New Roman" w:cs="Times New Roman"/>
          <w:i/>
        </w:rPr>
        <w:t>RT</w:t>
      </w:r>
      <w:r w:rsidRPr="00E42A9E">
        <w:rPr>
          <w:rFonts w:ascii="Times New Roman" w:hAnsi="Times New Roman" w:cs="Times New Roman"/>
          <w:i/>
          <w:vertAlign w:val="subscript"/>
        </w:rPr>
        <w:t>c</w:t>
      </w:r>
      <w:proofErr w:type="spellEnd"/>
      <w:r w:rsidRPr="00267F8C">
        <w:rPr>
          <w:rFonts w:ascii="Times New Roman" w:hAnsi="Times New Roman" w:cs="Times New Roman"/>
        </w:rPr>
        <w:t xml:space="preserve">  jako pojedynczy indeks na poziomie kraju, otrzymany przez sumowanie po </w:t>
      </w:r>
      <w:proofErr w:type="spellStart"/>
      <w:r w:rsidRPr="00267F8C">
        <w:rPr>
          <w:rFonts w:ascii="Times New Roman" w:hAnsi="Times New Roman" w:cs="Times New Roman"/>
        </w:rPr>
        <w:t>wszystkich</w:t>
      </w:r>
      <w:r w:rsidR="00E42A9E">
        <w:rPr>
          <w:rFonts w:ascii="Times New Roman" w:hAnsi="Times New Roman" w:cs="Times New Roman"/>
        </w:rPr>
        <w:t>p</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roduktach</w:t>
      </w:r>
      <w:proofErr w:type="spellEnd"/>
      <w:r w:rsidRPr="00267F8C">
        <w:rPr>
          <w:rFonts w:ascii="Times New Roman" w:hAnsi="Times New Roman" w:cs="Times New Roman"/>
        </w:rPr>
        <w:t xml:space="preserve">  </w:t>
      </w:r>
      <w:r w:rsidRPr="00E42A9E">
        <w:rPr>
          <w:rFonts w:ascii="Times New Roman" w:hAnsi="Times New Roman" w:cs="Times New Roman"/>
          <w:i/>
        </w:rPr>
        <w:t>i</w:t>
      </w:r>
      <w:r w:rsidRPr="00267F8C">
        <w:rPr>
          <w:rFonts w:ascii="Times New Roman" w:hAnsi="Times New Roman" w:cs="Times New Roman"/>
        </w:rPr>
        <w:t xml:space="preserve"> . </w:t>
      </w:r>
      <w:r w:rsidR="00E42A9E">
        <w:rPr>
          <w:rFonts w:ascii="Times New Roman" w:hAnsi="Times New Roman" w:cs="Times New Roman"/>
        </w:rPr>
        <w:t>J</w:t>
      </w:r>
      <w:r w:rsidRPr="00267F8C">
        <w:rPr>
          <w:rFonts w:ascii="Times New Roman" w:hAnsi="Times New Roman" w:cs="Times New Roman"/>
        </w:rPr>
        <w:t xml:space="preserve">aśniejsze </w:t>
      </w:r>
      <w:r w:rsidR="00E42A9E">
        <w:rPr>
          <w:rFonts w:ascii="Times New Roman" w:hAnsi="Times New Roman" w:cs="Times New Roman"/>
        </w:rPr>
        <w:t xml:space="preserve">byłoby </w:t>
      </w:r>
      <w:r w:rsidRPr="00267F8C">
        <w:rPr>
          <w:rFonts w:ascii="Times New Roman" w:hAnsi="Times New Roman" w:cs="Times New Roman"/>
        </w:rPr>
        <w:t xml:space="preserve">przedstawienie </w:t>
      </w:r>
      <w:proofErr w:type="spellStart"/>
      <w:r w:rsidR="00E42A9E" w:rsidRPr="00E42A9E">
        <w:rPr>
          <w:rFonts w:ascii="Times New Roman" w:hAnsi="Times New Roman" w:cs="Times New Roman"/>
          <w:i/>
        </w:rPr>
        <w:t>RT</w:t>
      </w:r>
      <w:r w:rsidR="00E42A9E" w:rsidRPr="00E42A9E">
        <w:rPr>
          <w:rFonts w:ascii="Times New Roman" w:hAnsi="Times New Roman" w:cs="Times New Roman"/>
          <w:i/>
          <w:vertAlign w:val="subscript"/>
        </w:rPr>
        <w:t>c</w:t>
      </w:r>
      <w:proofErr w:type="spellEnd"/>
      <w:r w:rsidR="00E42A9E" w:rsidRPr="00267F8C">
        <w:rPr>
          <w:rFonts w:ascii="Times New Roman" w:hAnsi="Times New Roman" w:cs="Times New Roman"/>
        </w:rPr>
        <w:t xml:space="preserve"> </w:t>
      </w:r>
      <w:r w:rsidRPr="00267F8C">
        <w:rPr>
          <w:rFonts w:ascii="Times New Roman" w:hAnsi="Times New Roman" w:cs="Times New Roman"/>
        </w:rPr>
        <w:t>jako miary na poziomie kraju skonstruowanej na podstawie danych produktowych, a nie jako indeksu „dla kraju i produktu”.</w:t>
      </w:r>
    </w:p>
    <w:p w:rsidR="00267F8C" w:rsidRPr="00267F8C" w:rsidRDefault="00267F8C" w:rsidP="00267F8C">
      <w:pPr>
        <w:rPr>
          <w:rFonts w:ascii="Times New Roman" w:hAnsi="Times New Roman" w:cs="Times New Roman"/>
        </w:rPr>
      </w:pPr>
    </w:p>
    <w:p w:rsidR="00BF038D" w:rsidRDefault="00267F8C" w:rsidP="00267F8C">
      <w:pPr>
        <w:rPr>
          <w:rFonts w:ascii="Times New Roman" w:hAnsi="Times New Roman" w:cs="Times New Roman"/>
        </w:rPr>
      </w:pPr>
      <w:r w:rsidRPr="00267F8C">
        <w:rPr>
          <w:rFonts w:ascii="Times New Roman" w:hAnsi="Times New Roman" w:cs="Times New Roman"/>
        </w:rPr>
        <w:t xml:space="preserve">Ponadto występuje pewna niespójność </w:t>
      </w:r>
      <w:proofErr w:type="spellStart"/>
      <w:r w:rsidRPr="00267F8C">
        <w:rPr>
          <w:rFonts w:ascii="Times New Roman" w:hAnsi="Times New Roman" w:cs="Times New Roman"/>
        </w:rPr>
        <w:t>notacyjna</w:t>
      </w:r>
      <w:proofErr w:type="spellEnd"/>
      <w:r w:rsidRPr="00267F8C">
        <w:rPr>
          <w:rFonts w:ascii="Times New Roman" w:hAnsi="Times New Roman" w:cs="Times New Roman"/>
        </w:rPr>
        <w:t xml:space="preserve"> w sposobie oznaczania udziałów eksportu. W formule RCA główne równanie używa  </w:t>
      </w:r>
      <w:proofErr w:type="spellStart"/>
      <w:r w:rsidRPr="00267F8C">
        <w:rPr>
          <w:rFonts w:ascii="Times New Roman" w:hAnsi="Times New Roman" w:cs="Times New Roman"/>
        </w:rPr>
        <w:t>s</w:t>
      </w:r>
      <w:r w:rsidRPr="00E42A9E">
        <w:rPr>
          <w:rFonts w:ascii="Times New Roman" w:hAnsi="Times New Roman" w:cs="Times New Roman"/>
          <w:vertAlign w:val="subscript"/>
        </w:rPr>
        <w:t>i,c</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s</w:t>
      </w:r>
      <w:r w:rsidRPr="00E42A9E">
        <w:rPr>
          <w:rFonts w:ascii="Times New Roman" w:hAnsi="Times New Roman" w:cs="Times New Roman"/>
          <w:vertAlign w:val="subscript"/>
        </w:rPr>
        <w:t>i,w</w:t>
      </w:r>
      <w:proofErr w:type="spellEnd"/>
      <w:r w:rsidRPr="00267F8C">
        <w:rPr>
          <w:rFonts w:ascii="Times New Roman" w:hAnsi="Times New Roman" w:cs="Times New Roman"/>
        </w:rPr>
        <w:t xml:space="preserve">, podczas gdy w opisie stosowane są  </w:t>
      </w:r>
      <w:proofErr w:type="spellStart"/>
      <w:r w:rsidRPr="00267F8C">
        <w:rPr>
          <w:rFonts w:ascii="Times New Roman" w:hAnsi="Times New Roman" w:cs="Times New Roman"/>
        </w:rPr>
        <w:t>S</w:t>
      </w:r>
      <w:r w:rsidRPr="00E42A9E">
        <w:rPr>
          <w:rFonts w:ascii="Times New Roman" w:hAnsi="Times New Roman" w:cs="Times New Roman"/>
          <w:vertAlign w:val="subscript"/>
        </w:rPr>
        <w:t>i,c</w:t>
      </w:r>
      <w:proofErr w:type="spellEnd"/>
      <w:r w:rsidR="00B116CA">
        <w:rPr>
          <w:rFonts w:ascii="Times New Roman" w:hAnsi="Times New Roman" w:cs="Times New Roman"/>
          <w:vertAlign w:val="subscript"/>
        </w:rPr>
        <w:t xml:space="preserve"> </w:t>
      </w:r>
      <w:r w:rsidRPr="00267F8C">
        <w:rPr>
          <w:rFonts w:ascii="Times New Roman" w:hAnsi="Times New Roman" w:cs="Times New Roman"/>
        </w:rPr>
        <w:t xml:space="preserve">i ( </w:t>
      </w:r>
      <w:proofErr w:type="spellStart"/>
      <w:r w:rsidRPr="00267F8C">
        <w:rPr>
          <w:rFonts w:ascii="Times New Roman" w:hAnsi="Times New Roman" w:cs="Times New Roman"/>
        </w:rPr>
        <w:t>S</w:t>
      </w:r>
      <w:r w:rsidRPr="00E42A9E">
        <w:rPr>
          <w:rFonts w:ascii="Times New Roman" w:hAnsi="Times New Roman" w:cs="Times New Roman"/>
          <w:vertAlign w:val="subscript"/>
        </w:rPr>
        <w:t>i,w</w:t>
      </w:r>
      <w:proofErr w:type="spellEnd"/>
      <w:r w:rsidRPr="00267F8C">
        <w:rPr>
          <w:rFonts w:ascii="Times New Roman" w:hAnsi="Times New Roman" w:cs="Times New Roman"/>
        </w:rPr>
        <w:t xml:space="preserve">. W wyrażeniu względnego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w:t>
      </w:r>
      <w:proofErr w:type="spellStart"/>
      <w:r w:rsidR="00B116CA" w:rsidRPr="00267F8C">
        <w:rPr>
          <w:rFonts w:ascii="Times New Roman" w:hAnsi="Times New Roman" w:cs="Times New Roman"/>
        </w:rPr>
        <w:t>S</w:t>
      </w:r>
      <w:r w:rsidR="00B116CA" w:rsidRPr="00E42A9E">
        <w:rPr>
          <w:rFonts w:ascii="Times New Roman" w:hAnsi="Times New Roman" w:cs="Times New Roman"/>
          <w:vertAlign w:val="subscript"/>
        </w:rPr>
        <w:t>i,c</w:t>
      </w:r>
      <w:proofErr w:type="spellEnd"/>
      <w:r w:rsidRPr="00267F8C">
        <w:rPr>
          <w:rFonts w:ascii="Times New Roman" w:hAnsi="Times New Roman" w:cs="Times New Roman"/>
        </w:rPr>
        <w:t xml:space="preserve"> pojawia się jako waga, a </w:t>
      </w:r>
      <w:proofErr w:type="spellStart"/>
      <w:r w:rsidR="00B116CA" w:rsidRPr="00267F8C">
        <w:rPr>
          <w:rFonts w:ascii="Times New Roman" w:hAnsi="Times New Roman" w:cs="Times New Roman"/>
        </w:rPr>
        <w:t>s</w:t>
      </w:r>
      <w:r w:rsidR="00B116CA" w:rsidRPr="00E42A9E">
        <w:rPr>
          <w:rFonts w:ascii="Times New Roman" w:hAnsi="Times New Roman" w:cs="Times New Roman"/>
          <w:vertAlign w:val="subscript"/>
        </w:rPr>
        <w:t>i,c</w:t>
      </w:r>
      <w:proofErr w:type="spellEnd"/>
      <w:r w:rsidR="00B116CA" w:rsidRPr="00267F8C">
        <w:rPr>
          <w:rFonts w:ascii="Times New Roman" w:hAnsi="Times New Roman" w:cs="Times New Roman"/>
        </w:rPr>
        <w:t xml:space="preserve"> </w:t>
      </w:r>
      <w:r w:rsidRPr="00267F8C">
        <w:rPr>
          <w:rFonts w:ascii="Times New Roman" w:hAnsi="Times New Roman" w:cs="Times New Roman"/>
        </w:rPr>
        <w:t xml:space="preserve">wewnątrz logarytmu, mimo że oba oznaczają udziały eksportu. Choć zamierzone znaczenie jest jasne z kontekstu i z jawnych definicji w postaci </w:t>
      </w:r>
      <w:proofErr w:type="spellStart"/>
      <w:r w:rsidRPr="00B116CA">
        <w:rPr>
          <w:rFonts w:ascii="Times New Roman" w:hAnsi="Times New Roman" w:cs="Times New Roman"/>
          <w:i/>
        </w:rPr>
        <w:t>E</w:t>
      </w:r>
      <w:r w:rsidRPr="00B116CA">
        <w:rPr>
          <w:rFonts w:ascii="Times New Roman" w:hAnsi="Times New Roman" w:cs="Times New Roman"/>
          <w:i/>
          <w:vertAlign w:val="subscript"/>
        </w:rPr>
        <w:t>i,c</w:t>
      </w:r>
      <w:proofErr w:type="spellEnd"/>
      <w:r w:rsidRPr="00B116CA">
        <w:rPr>
          <w:rFonts w:ascii="Times New Roman" w:hAnsi="Times New Roman" w:cs="Times New Roman"/>
          <w:i/>
        </w:rPr>
        <w:t>/</w:t>
      </w:r>
      <w:proofErr w:type="spellStart"/>
      <w:r w:rsidRPr="00B116CA">
        <w:rPr>
          <w:rFonts w:ascii="Times New Roman" w:hAnsi="Times New Roman" w:cs="Times New Roman"/>
          <w:i/>
        </w:rPr>
        <w:t>E</w:t>
      </w:r>
      <w:r w:rsidRPr="00B116CA">
        <w:rPr>
          <w:rFonts w:ascii="Times New Roman" w:hAnsi="Times New Roman" w:cs="Times New Roman"/>
          <w:i/>
          <w:vertAlign w:val="subscript"/>
        </w:rPr>
        <w:t>c</w:t>
      </w:r>
      <w:proofErr w:type="spellEnd"/>
      <w:r w:rsidRPr="00267F8C">
        <w:rPr>
          <w:rFonts w:ascii="Times New Roman" w:hAnsi="Times New Roman" w:cs="Times New Roman"/>
        </w:rPr>
        <w:t xml:space="preserve"> , zastosowanie jednego spójnego symbolu dla udziałów eksportu (albo wszędzie ( s ), albo ( S )) poprawiłoby spójność zapisu i wyeliminowało chwilową niejednoznaczność.</w:t>
      </w:r>
    </w:p>
    <w:p w:rsidR="00E42A9E" w:rsidRDefault="00E42A9E" w:rsidP="00267F8C">
      <w:pPr>
        <w:rPr>
          <w:rFonts w:ascii="Times New Roman" w:hAnsi="Times New Roman" w:cs="Times New Roman"/>
        </w:rPr>
      </w:pPr>
    </w:p>
    <w:p w:rsidR="00E42A9E" w:rsidRDefault="00E42A9E" w:rsidP="00267F8C">
      <w:pPr>
        <w:rPr>
          <w:rFonts w:ascii="Times New Roman" w:hAnsi="Times New Roman" w:cs="Times New Roman"/>
        </w:rPr>
      </w:pPr>
      <w:r>
        <w:rPr>
          <w:rFonts w:ascii="Times New Roman" w:hAnsi="Times New Roman" w:cs="Times New Roman"/>
        </w:rPr>
        <w:t>--</w:t>
      </w:r>
    </w:p>
    <w:p w:rsidR="00E42A9E" w:rsidRPr="00B116CA" w:rsidRDefault="00E42A9E" w:rsidP="00267F8C">
      <w:pPr>
        <w:rPr>
          <w:rFonts w:ascii="Times New Roman" w:hAnsi="Times New Roman" w:cs="Times New Roman"/>
          <w:b/>
        </w:rPr>
      </w:pPr>
    </w:p>
    <w:p w:rsidR="00BF038D" w:rsidRPr="00267F8C" w:rsidRDefault="00BF038D" w:rsidP="00BF038D">
      <w:pPr>
        <w:rPr>
          <w:rFonts w:ascii="Times New Roman" w:hAnsi="Times New Roman" w:cs="Times New Roman"/>
        </w:rPr>
      </w:pPr>
      <w:r w:rsidRPr="00B116CA">
        <w:rPr>
          <w:rFonts w:ascii="Times New Roman" w:hAnsi="Times New Roman" w:cs="Times New Roman"/>
          <w:b/>
        </w:rPr>
        <w:t>33. Niespójne nazewnictwo „krzywej dywersyfikacji eksportu” na rysunku 3.1</w:t>
      </w:r>
    </w:p>
    <w:p w:rsidR="00BF038D" w:rsidRDefault="00BF038D" w:rsidP="00BF038D">
      <w:pPr>
        <w:rPr>
          <w:rFonts w:ascii="Times New Roman" w:hAnsi="Times New Roman" w:cs="Times New Roman"/>
        </w:rPr>
      </w:pPr>
      <w:r w:rsidRPr="00B116CA">
        <w:rPr>
          <w:rFonts w:ascii="Times New Roman" w:hAnsi="Times New Roman" w:cs="Times New Roman"/>
          <w:b/>
        </w:rPr>
        <w:t>Cytat:</w:t>
      </w:r>
      <w:r w:rsidRPr="00267F8C">
        <w:rPr>
          <w:rFonts w:ascii="Times New Roman" w:hAnsi="Times New Roman" w:cs="Times New Roman"/>
        </w:rPr>
        <w:t xml:space="preserve"> &gt; Krzywa dywersyfikacji eksportu ukazuje związek między poziomem rozwoju (przybliżonym przez produkcję na pracownika) a stopniem dywersyfikacji eksportu, przedstawiony na podstawie punktów danych typu kraj–rok (zob. graficzną ilustrację na rysunku 3.1). ... Rysunek 3.1. Krzywa dywersyfikacji eksportu – schemat</w:t>
      </w:r>
    </w:p>
    <w:p w:rsidR="00B116CA" w:rsidRPr="00267F8C" w:rsidRDefault="00B116CA" w:rsidP="00BF038D">
      <w:pPr>
        <w:rPr>
          <w:rFonts w:ascii="Times New Roman" w:hAnsi="Times New Roman" w:cs="Times New Roman"/>
        </w:rPr>
      </w:pPr>
    </w:p>
    <w:p w:rsidR="00BF038D" w:rsidRDefault="00BF038D" w:rsidP="00BF038D">
      <w:pPr>
        <w:rPr>
          <w:rFonts w:ascii="Times New Roman" w:hAnsi="Times New Roman" w:cs="Times New Roman"/>
        </w:rPr>
      </w:pPr>
      <w:r w:rsidRPr="00B116CA">
        <w:rPr>
          <w:rFonts w:ascii="Times New Roman" w:hAnsi="Times New Roman" w:cs="Times New Roman"/>
          <w:b/>
        </w:rPr>
        <w:t>Uwagi:</w:t>
      </w:r>
      <w:r w:rsidRPr="00267F8C">
        <w:rPr>
          <w:rFonts w:ascii="Times New Roman" w:hAnsi="Times New Roman" w:cs="Times New Roman"/>
        </w:rPr>
        <w:t xml:space="preserve"> Definicja przedstawiona w sekcji 3.3 wyraźnie wskazuje, że RT jest odwrotną miarą dywersyfikacji eksportu: wyższe wartości RT oznaczają wyższy poziom specjalizacji i niższy poziom dywersyfikacji. Tymczasem na rysunku 3.1 oś pionowa została opisana jako „indeks dywersyfikacji eksportu (RT)”, a tekst bezpośrednio powyżej mówi o wykresie przedstawiającym „stopień dywersyfikacji eksportu”, co — przy dosłownej interpretacji — </w:t>
      </w:r>
      <w:r w:rsidRPr="00267F8C">
        <w:rPr>
          <w:rFonts w:ascii="Times New Roman" w:hAnsi="Times New Roman" w:cs="Times New Roman"/>
        </w:rPr>
        <w:lastRenderedPageBreak/>
        <w:t>sugeruje, że wyższe RT odpowiada większej dywersyfikacji. Jednocześnie oznaczenia wewnątrz samego rysunku („HIGH SPECIALIZATION” u góry, „LOW SPECIALIZATION” u dołu oraz strzałka „DIVERSIFICATION PROCESS” biegnąca wzdłuż malejącego odcinka) poprawnie traktują RT jako indeks specjalizacji, a więc logika graficzna pozostaje wewnętrznie spójna i uważny czytelnik może odtworzyć zamierzoną interpretację. Niemniej jednak opis osi oraz sąsiadujące z nim zdanie pozostają niespójne z definicją formalną oraz z późniejszymi uwagami do rysunków w rozdziale 5, gdzie wprost przypomina się, że RT jest odwrotnością dywersyfikacji. Pomocne byłoby odpowiednie przeformułowanie etykiety osi pionowej (oraz ewentualnie drobna modyfikacja towarzyszącego zdania), tak aby RT był konsekwentnie opisywany jako indeks specjalizacji lub indeks odwrotny względem dywersyfikacji już w momencie pierwszego wprowadzenia krzywej dywersyfikacji eksportu.</w:t>
      </w:r>
    </w:p>
    <w:p w:rsidR="00B116CA" w:rsidRPr="00267F8C" w:rsidRDefault="00B116CA"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B116CA" w:rsidRDefault="00BF038D" w:rsidP="00BF038D">
      <w:pPr>
        <w:rPr>
          <w:rFonts w:ascii="Times New Roman" w:hAnsi="Times New Roman" w:cs="Times New Roman"/>
          <w:b/>
        </w:rPr>
      </w:pPr>
      <w:r w:rsidRPr="00B116CA">
        <w:rPr>
          <w:rFonts w:ascii="Times New Roman" w:hAnsi="Times New Roman" w:cs="Times New Roman"/>
          <w:b/>
        </w:rPr>
        <w:t>34. Nieprecyzyjny opis statystyki RCA w tekście</w:t>
      </w:r>
    </w:p>
    <w:p w:rsidR="00BF038D" w:rsidRDefault="00BF038D" w:rsidP="00BF038D">
      <w:pPr>
        <w:rPr>
          <w:rFonts w:ascii="Times New Roman" w:hAnsi="Times New Roman" w:cs="Times New Roman"/>
        </w:rPr>
      </w:pPr>
      <w:r w:rsidRPr="00B116CA">
        <w:rPr>
          <w:rFonts w:ascii="Times New Roman" w:hAnsi="Times New Roman" w:cs="Times New Roman"/>
          <w:b/>
        </w:rPr>
        <w:t>Cytat:</w:t>
      </w:r>
      <w:r w:rsidRPr="00267F8C">
        <w:rPr>
          <w:rFonts w:ascii="Times New Roman" w:hAnsi="Times New Roman" w:cs="Times New Roman"/>
        </w:rPr>
        <w:t xml:space="preserve"> &gt; Gospodarki wysokodochodowe mają tendencję do specjalizacji w paliwach kopalnych, które stanowią 85% całego ich eksportu zasobów. Jednocześnie zamożni eksporterzy paliw kopalnych (w tym kraje takie jak Arabia Saudyjska i Zjednoczone Emiraty Arabskie) ujawniają przewagę komparatywną średnio w 20% swoich eksportowanych produktów.</w:t>
      </w:r>
    </w:p>
    <w:p w:rsidR="00B116CA" w:rsidRPr="00267F8C" w:rsidRDefault="00B116CA" w:rsidP="00BF038D">
      <w:pPr>
        <w:rPr>
          <w:rFonts w:ascii="Times New Roman" w:hAnsi="Times New Roman" w:cs="Times New Roman"/>
        </w:rPr>
      </w:pPr>
    </w:p>
    <w:p w:rsidR="00BF038D" w:rsidRDefault="00BF038D" w:rsidP="00BF038D">
      <w:pPr>
        <w:rPr>
          <w:rFonts w:ascii="Times New Roman" w:hAnsi="Times New Roman" w:cs="Times New Roman"/>
        </w:rPr>
      </w:pPr>
      <w:r w:rsidRPr="00B116CA">
        <w:rPr>
          <w:rFonts w:ascii="Times New Roman" w:hAnsi="Times New Roman" w:cs="Times New Roman"/>
          <w:b/>
        </w:rPr>
        <w:t>Uwagi:</w:t>
      </w:r>
      <w:r w:rsidRPr="00267F8C">
        <w:rPr>
          <w:rFonts w:ascii="Times New Roman" w:hAnsi="Times New Roman" w:cs="Times New Roman"/>
        </w:rPr>
        <w:t xml:space="preserve"> Zdanie „zamożni eksporterzy paliw kopalnych … ujawniają przewagę komparatywną średnio w 20% swoich eksportowanych produktów” jest nieco nieprecyzyjne pod względem mianownika. Tabela 4.1 oraz jej nota jasno wskazują, że raportowane odsetki są obliczane względem całkowitej liczby kodów produktów zasobów naturalnych w obrębie każdej grupy zasobów (np. paliw), a nie względem wszystkich eksportowanych produktów w całym uniwersum HS6. Ponieważ zdanie to pojawia się bezpośrednio po wprowadzeniu tabeli 4.1, warto byłoby wyraźnie zaznaczyć, że wspomniane 20% odnosi się do linii produktowych eksportu zasobów naturalnych (lub produktów związanych z paliwami), a nie do wszystkich produktów eksportowych, aby uniknąć niejednoznaczności co do zakresu, do którego odnosi się miara RCA.</w:t>
      </w:r>
    </w:p>
    <w:p w:rsidR="00B116CA" w:rsidRPr="00267F8C" w:rsidRDefault="00B116CA"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B116CA" w:rsidRDefault="00BF038D" w:rsidP="00BF038D">
      <w:pPr>
        <w:rPr>
          <w:rFonts w:ascii="Times New Roman" w:hAnsi="Times New Roman" w:cs="Times New Roman"/>
          <w:b/>
        </w:rPr>
      </w:pPr>
      <w:r w:rsidRPr="00B116CA">
        <w:rPr>
          <w:rFonts w:ascii="Times New Roman" w:hAnsi="Times New Roman" w:cs="Times New Roman"/>
          <w:b/>
        </w:rPr>
        <w:t>35. Chronologia Funduszu Emerytalnego i reguły fiskalnej w przypadku Norwegii</w:t>
      </w:r>
    </w:p>
    <w:p w:rsidR="00BF038D" w:rsidRDefault="00BF038D" w:rsidP="00BF038D">
      <w:pPr>
        <w:rPr>
          <w:rFonts w:ascii="Times New Roman" w:hAnsi="Times New Roman" w:cs="Times New Roman"/>
        </w:rPr>
      </w:pPr>
      <w:r w:rsidRPr="00B116CA">
        <w:rPr>
          <w:rFonts w:ascii="Times New Roman" w:hAnsi="Times New Roman" w:cs="Times New Roman"/>
          <w:b/>
        </w:rPr>
        <w:t>Cytat:</w:t>
      </w:r>
      <w:r w:rsidRPr="00267F8C">
        <w:rPr>
          <w:rFonts w:ascii="Times New Roman" w:hAnsi="Times New Roman" w:cs="Times New Roman"/>
        </w:rPr>
        <w:t xml:space="preserve"> &gt; Po trzecie, w następstwie wprowadzenia reguły fiskalnej w 2001 r. rząd norweski zapewnił, że większość dochodów z ropy była oszczędzana w formie Funduszu Emerytalnego, utworzonego w 1990 r. Tym samym, w przypadku spadku produkcji ropy naftowej lub wahań cen ropy, obecne i przyszłe pokolenia będą korzystały z niezmiennych korzyści wynikających z obfitych zasobów ropy, rekompensowanych przez zwroty z Funduszu Emerytalnego (</w:t>
      </w:r>
      <w:proofErr w:type="spellStart"/>
      <w:r w:rsidRPr="00267F8C">
        <w:rPr>
          <w:rFonts w:ascii="Times New Roman" w:hAnsi="Times New Roman" w:cs="Times New Roman"/>
        </w:rPr>
        <w:t>Holden</w:t>
      </w:r>
      <w:proofErr w:type="spellEnd"/>
      <w:r w:rsidRPr="00267F8C">
        <w:rPr>
          <w:rFonts w:ascii="Times New Roman" w:hAnsi="Times New Roman" w:cs="Times New Roman"/>
        </w:rPr>
        <w:t>, 2013).</w:t>
      </w:r>
    </w:p>
    <w:p w:rsidR="00B116CA" w:rsidRPr="00267F8C" w:rsidRDefault="00B116CA" w:rsidP="00BF038D">
      <w:pPr>
        <w:rPr>
          <w:rFonts w:ascii="Times New Roman" w:hAnsi="Times New Roman" w:cs="Times New Roman"/>
        </w:rPr>
      </w:pPr>
    </w:p>
    <w:p w:rsidR="00BF038D" w:rsidRPr="00267F8C" w:rsidRDefault="00BF038D" w:rsidP="00BF038D">
      <w:pPr>
        <w:rPr>
          <w:rFonts w:ascii="Times New Roman" w:hAnsi="Times New Roman" w:cs="Times New Roman"/>
        </w:rPr>
      </w:pPr>
      <w:r w:rsidRPr="00B116CA">
        <w:rPr>
          <w:rFonts w:ascii="Times New Roman" w:hAnsi="Times New Roman" w:cs="Times New Roman"/>
          <w:b/>
        </w:rPr>
        <w:t>Uwagi:</w:t>
      </w:r>
      <w:r w:rsidRPr="00267F8C">
        <w:rPr>
          <w:rFonts w:ascii="Times New Roman" w:hAnsi="Times New Roman" w:cs="Times New Roman"/>
        </w:rPr>
        <w:t xml:space="preserve"> Zdanie opisujące norweskie ramy fiskalne może prowadzić do mylącej interpretacji chronologicznej. Obecne sformułowanie („w następstwie wprowadzenia reguły fiskalnej w 2001 r. rząd norweski zapewnił, że większość dochodów z ropy była oszczędzana w formie Funduszu Emerytalnego, utworzonego w 1990 r.”) może sugerować, że reguła z 2001 r. zarówno zapoczątkowała, jak i regulowała mechanizm oszczędzania, mimo że sam fundusz w oczywisty sposób poprzedza tę regułę. Doprecyzowanie w jednym miejscu, że Fundusz Emerytalny został utworzony w 1990 r., a przyjęta w 2001 r. reguła fiskalna następnie sformalizowała ramy oszczędzania i wydatkowania dochodów z ropy za pośrednictwem tego funduszu, uczyniłoby sekwencję instytucjonalną bardziej przejrzystą.</w:t>
      </w:r>
    </w:p>
    <w:p w:rsidR="00BF038D" w:rsidRPr="00267F8C" w:rsidRDefault="00BF038D" w:rsidP="00BF038D">
      <w:pPr>
        <w:rPr>
          <w:rFonts w:ascii="Times New Roman" w:hAnsi="Times New Roman" w:cs="Times New Roman"/>
        </w:rPr>
      </w:pPr>
    </w:p>
    <w:p w:rsidR="00BF038D" w:rsidRPr="001D66EA" w:rsidRDefault="00BF038D" w:rsidP="00BF038D">
      <w:pPr>
        <w:rPr>
          <w:rFonts w:ascii="Times New Roman" w:hAnsi="Times New Roman" w:cs="Times New Roman"/>
          <w:b/>
        </w:rPr>
      </w:pPr>
      <w:r w:rsidRPr="001D66EA">
        <w:rPr>
          <w:rFonts w:ascii="Times New Roman" w:hAnsi="Times New Roman" w:cs="Times New Roman"/>
          <w:b/>
        </w:rPr>
        <w:t>36. O „najważniejszej przyczynie” dywersyfikacji</w:t>
      </w:r>
    </w:p>
    <w:p w:rsidR="00BF038D" w:rsidRDefault="00BF038D" w:rsidP="00BF038D">
      <w:pPr>
        <w:rPr>
          <w:rFonts w:ascii="Times New Roman" w:hAnsi="Times New Roman" w:cs="Times New Roman"/>
        </w:rPr>
      </w:pPr>
      <w:r w:rsidRPr="001D66EA">
        <w:rPr>
          <w:rFonts w:ascii="Times New Roman" w:hAnsi="Times New Roman" w:cs="Times New Roman"/>
          <w:b/>
        </w:rPr>
        <w:t>Cytat:</w:t>
      </w:r>
      <w:r w:rsidRPr="00267F8C">
        <w:rPr>
          <w:rFonts w:ascii="Times New Roman" w:hAnsi="Times New Roman" w:cs="Times New Roman"/>
        </w:rPr>
        <w:t xml:space="preserve"> &gt; Gotowość do dywersyfikacji eksportu nie jest jedynym czynnikiem skłaniającym kraje zależne od zasobów do przechodzenia ku bardziej zaawansowanym technologicznie produktom. Najważniejszą przyczyną jest globalne przejście na odnawialne źródła energii, które zmusza je do poszukiwania alternatywnego źródła dochodu, ponieważ paliwa kopalne są porzucane i ostatecznie się wyczerpują.</w:t>
      </w:r>
    </w:p>
    <w:p w:rsidR="001D66EA" w:rsidRPr="00267F8C" w:rsidRDefault="001D66EA" w:rsidP="00BF038D">
      <w:pPr>
        <w:rPr>
          <w:rFonts w:ascii="Times New Roman" w:hAnsi="Times New Roman" w:cs="Times New Roman"/>
        </w:rPr>
      </w:pPr>
    </w:p>
    <w:p w:rsidR="00BF038D" w:rsidRDefault="00BF038D" w:rsidP="00BF038D">
      <w:pPr>
        <w:rPr>
          <w:rFonts w:ascii="Times New Roman" w:hAnsi="Times New Roman" w:cs="Times New Roman"/>
        </w:rPr>
      </w:pPr>
      <w:r w:rsidRPr="001D66EA">
        <w:rPr>
          <w:rFonts w:ascii="Times New Roman" w:hAnsi="Times New Roman" w:cs="Times New Roman"/>
          <w:b/>
        </w:rPr>
        <w:t>Uwagi:</w:t>
      </w:r>
      <w:r w:rsidRPr="00267F8C">
        <w:rPr>
          <w:rFonts w:ascii="Times New Roman" w:hAnsi="Times New Roman" w:cs="Times New Roman"/>
        </w:rPr>
        <w:t xml:space="preserve"> Zdanie, zgodnie z którym „najważniejszą przyczyną jest globalne przejście na odnawialne źródła energii”, formułuje bardzo silne, ogólne twierdzenie o determinantach dywersyfikacji wśród eksporterów paliw kopalnych. W innych częściach rozprawy uznaj</w:t>
      </w:r>
      <w:r w:rsidR="001D66EA">
        <w:rPr>
          <w:rFonts w:ascii="Times New Roman" w:hAnsi="Times New Roman" w:cs="Times New Roman"/>
        </w:rPr>
        <w:t>e</w:t>
      </w:r>
      <w:r w:rsidRPr="00267F8C">
        <w:rPr>
          <w:rFonts w:ascii="Times New Roman" w:hAnsi="Times New Roman" w:cs="Times New Roman"/>
        </w:rPr>
        <w:t xml:space="preserve"> jednak Pa</w:t>
      </w:r>
      <w:r w:rsidR="001D66EA">
        <w:rPr>
          <w:rFonts w:ascii="Times New Roman" w:hAnsi="Times New Roman" w:cs="Times New Roman"/>
        </w:rPr>
        <w:t>ni</w:t>
      </w:r>
      <w:r w:rsidRPr="00267F8C">
        <w:rPr>
          <w:rFonts w:ascii="Times New Roman" w:hAnsi="Times New Roman" w:cs="Times New Roman"/>
        </w:rPr>
        <w:t xml:space="preserve"> wiele istotnych motywów (np. spadek dochodów z ropy naftowej per capita w Arabii Saudyjskiej, zmienność, chorobę holenderską, czynniki instytucjonalne), a analiza empiryczna nie podejmuje próby uszeregowania tych przyczyn. Biorąc pod uwagę, że badany okres (1996–2021) obejmuje lata, w których transformacja energetyczna dopiero stopniowo zyskiwała na znaczeniu, bezpieczniej byłoby przedstawić globalne przejście ku odnawialnym źródłom energii jako ważny lub coraz istotniejszy czynnik, a nie jako czynnik „najważniejszy”, ewentualnie wyraźnie ująć to stwierdzenie jako odnoszące się do przyszłości. Pozwoliłoby to zachować meritum wypowiedzi, a zarazem lepiej dostosować ją do zakresu mechanizmów omawianych w rozprawie.</w:t>
      </w:r>
    </w:p>
    <w:p w:rsidR="001D66EA" w:rsidRPr="00267F8C" w:rsidRDefault="001D66EA"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1D66EA" w:rsidRDefault="00BF038D" w:rsidP="00BF038D">
      <w:pPr>
        <w:rPr>
          <w:rFonts w:ascii="Times New Roman" w:hAnsi="Times New Roman" w:cs="Times New Roman"/>
          <w:b/>
        </w:rPr>
      </w:pPr>
      <w:r w:rsidRPr="001D66EA">
        <w:rPr>
          <w:rFonts w:ascii="Times New Roman" w:hAnsi="Times New Roman" w:cs="Times New Roman"/>
          <w:b/>
        </w:rPr>
        <w:t>37. Sprzeczność w nocie do rysunku 4.5</w:t>
      </w:r>
    </w:p>
    <w:p w:rsidR="00BF038D" w:rsidRDefault="00BF038D" w:rsidP="00BF038D">
      <w:pPr>
        <w:rPr>
          <w:rFonts w:ascii="Times New Roman" w:hAnsi="Times New Roman" w:cs="Times New Roman"/>
        </w:rPr>
      </w:pPr>
      <w:r w:rsidRPr="001D66EA">
        <w:rPr>
          <w:rFonts w:ascii="Times New Roman" w:hAnsi="Times New Roman" w:cs="Times New Roman"/>
          <w:b/>
        </w:rPr>
        <w:t>Cytat:</w:t>
      </w:r>
      <w:r w:rsidRPr="00267F8C">
        <w:rPr>
          <w:rFonts w:ascii="Times New Roman" w:hAnsi="Times New Roman" w:cs="Times New Roman"/>
        </w:rPr>
        <w:t xml:space="preserve"> &gt; Rysunek 4.5. Ponowna specjalizacja w kierunku eksportu zasobów – wybrane kraje</w:t>
      </w:r>
    </w:p>
    <w:p w:rsidR="00BF038D" w:rsidRDefault="00BF038D" w:rsidP="00BF038D">
      <w:pPr>
        <w:rPr>
          <w:rFonts w:ascii="Times New Roman" w:hAnsi="Times New Roman" w:cs="Times New Roman"/>
        </w:rPr>
      </w:pPr>
      <w:r w:rsidRPr="001D66EA">
        <w:rPr>
          <w:rFonts w:ascii="Times New Roman" w:hAnsi="Times New Roman" w:cs="Times New Roman"/>
        </w:rPr>
        <w:t>Uwag</w:t>
      </w:r>
      <w:r w:rsidR="001D66EA">
        <w:rPr>
          <w:rFonts w:ascii="Times New Roman" w:hAnsi="Times New Roman" w:cs="Times New Roman"/>
        </w:rPr>
        <w:t>a</w:t>
      </w:r>
      <w:r w:rsidRPr="001D66EA">
        <w:rPr>
          <w:rFonts w:ascii="Times New Roman" w:hAnsi="Times New Roman" w:cs="Times New Roman"/>
        </w:rPr>
        <w:t>:</w:t>
      </w:r>
      <w:r w:rsidRPr="00267F8C">
        <w:rPr>
          <w:rFonts w:ascii="Times New Roman" w:hAnsi="Times New Roman" w:cs="Times New Roman"/>
        </w:rPr>
        <w:t xml:space="preserve"> kraje wybrane powyżej odnotowały wzrost udziału eksportu zasobów w całym okresie 1996–2021; jednocześnie udział eksportu technologicznego pozostał niezmieniony lub zmniejszył się.</w:t>
      </w:r>
    </w:p>
    <w:p w:rsidR="001D66EA" w:rsidRPr="00267F8C" w:rsidRDefault="001D66EA" w:rsidP="00BF038D">
      <w:pPr>
        <w:rPr>
          <w:rFonts w:ascii="Times New Roman" w:hAnsi="Times New Roman" w:cs="Times New Roman"/>
        </w:rPr>
      </w:pPr>
    </w:p>
    <w:p w:rsidR="00BF038D" w:rsidRPr="00267F8C" w:rsidRDefault="00BF038D" w:rsidP="00BF038D">
      <w:pPr>
        <w:rPr>
          <w:rFonts w:ascii="Times New Roman" w:hAnsi="Times New Roman" w:cs="Times New Roman"/>
        </w:rPr>
      </w:pPr>
      <w:r w:rsidRPr="001D66EA">
        <w:rPr>
          <w:rFonts w:ascii="Times New Roman" w:hAnsi="Times New Roman" w:cs="Times New Roman"/>
          <w:b/>
        </w:rPr>
        <w:t>Uwagi:</w:t>
      </w:r>
      <w:r w:rsidRPr="00267F8C">
        <w:rPr>
          <w:rFonts w:ascii="Times New Roman" w:hAnsi="Times New Roman" w:cs="Times New Roman"/>
        </w:rPr>
        <w:t xml:space="preserve"> Nota do rysunku 4.5 stwierdza, że wybrane kraje zarówno zwiększyły udział eksportu zasobów, jak i odnotowały, że udział eksportu technologicznego „pozostał niezmieniony lub zmniejszył się” w latach 1996–2021. Jednak przy wykorzystaniu tych samych danych źródłowych (np. </w:t>
      </w:r>
      <w:r w:rsidR="001D66EA">
        <w:rPr>
          <w:rFonts w:ascii="Times New Roman" w:hAnsi="Times New Roman" w:cs="Times New Roman"/>
        </w:rPr>
        <w:t>T</w:t>
      </w:r>
      <w:r w:rsidRPr="00267F8C">
        <w:rPr>
          <w:rFonts w:ascii="Times New Roman" w:hAnsi="Times New Roman" w:cs="Times New Roman"/>
        </w:rPr>
        <w:t>abela A.12) oraz przedstawionych szeregów udział eksportu TECH wyraźnie wzrasta między 1996 a 2021 r. w przypadku Islandii i Mozambiku, a w mniejszym stopniu także Jamajki.</w:t>
      </w:r>
    </w:p>
    <w:p w:rsidR="00BF038D" w:rsidRDefault="00BF038D" w:rsidP="00BF038D">
      <w:pPr>
        <w:rPr>
          <w:rFonts w:ascii="Times New Roman" w:hAnsi="Times New Roman" w:cs="Times New Roman"/>
        </w:rPr>
      </w:pPr>
      <w:r w:rsidRPr="00267F8C">
        <w:rPr>
          <w:rFonts w:ascii="Times New Roman" w:hAnsi="Times New Roman" w:cs="Times New Roman"/>
        </w:rPr>
        <w:t>Jeżeli sformułowanie „pozostał niezmieniony lub zmniejszył się” ma być rozumiane dosłownie w odniesieniu do całego okresu próby, jest ono niepoprawne dla tych trzech przypadków i może wprowadzać czytelników w błąd co do rzeczywistych kryteriów doboru krajów do rysunku 4.5. Pomocne byłoby albo dostosowanie noty tak, aby odzwierciedlała to, co rzeczywiście pokazuje rysunek (na przykład, że udziały TECH pozostawały bardzo niskie i nie wzrastały współmiernie do udziałów NR), albo usunięcie z noty warunku dotyczącego eksportu technologicznego, tak aby opis w sposób jednoznaczny odpowiadał danym we wszystkich ośmiu panelach.</w:t>
      </w:r>
    </w:p>
    <w:p w:rsidR="001D66EA" w:rsidRPr="00267F8C" w:rsidRDefault="001D66EA"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1D66EA" w:rsidRDefault="00BF038D" w:rsidP="00BF038D">
      <w:pPr>
        <w:rPr>
          <w:rFonts w:ascii="Times New Roman" w:hAnsi="Times New Roman" w:cs="Times New Roman"/>
          <w:b/>
        </w:rPr>
      </w:pPr>
      <w:r w:rsidRPr="001D66EA">
        <w:rPr>
          <w:rFonts w:ascii="Times New Roman" w:hAnsi="Times New Roman" w:cs="Times New Roman"/>
          <w:b/>
        </w:rPr>
        <w:t>38. Niejednoznaczność specyfikacji GMM dla panelu dynamicznego</w:t>
      </w:r>
    </w:p>
    <w:p w:rsidR="00BF038D" w:rsidRPr="00267F8C" w:rsidRDefault="00BF038D" w:rsidP="00BF038D">
      <w:pPr>
        <w:rPr>
          <w:rFonts w:ascii="Times New Roman" w:hAnsi="Times New Roman" w:cs="Times New Roman"/>
        </w:rPr>
      </w:pPr>
      <w:r w:rsidRPr="001D66EA">
        <w:rPr>
          <w:rFonts w:ascii="Times New Roman" w:hAnsi="Times New Roman" w:cs="Times New Roman"/>
          <w:b/>
        </w:rPr>
        <w:t>Cytat:</w:t>
      </w:r>
      <w:r w:rsidRPr="00267F8C">
        <w:rPr>
          <w:rFonts w:ascii="Times New Roman" w:hAnsi="Times New Roman" w:cs="Times New Roman"/>
        </w:rPr>
        <w:t xml:space="preserve"> &gt; Dlatego, aby uniknąć utraty całej zmienności </w:t>
      </w:r>
      <w:proofErr w:type="spellStart"/>
      <w:r w:rsidRPr="00267F8C">
        <w:rPr>
          <w:rFonts w:ascii="Times New Roman" w:hAnsi="Times New Roman" w:cs="Times New Roman"/>
        </w:rPr>
        <w:t>międzykrajowej</w:t>
      </w:r>
      <w:proofErr w:type="spellEnd"/>
      <w:r w:rsidRPr="00267F8C">
        <w:rPr>
          <w:rFonts w:ascii="Times New Roman" w:hAnsi="Times New Roman" w:cs="Times New Roman"/>
        </w:rPr>
        <w:t>, w regresjach nie uwzględniono efektów stałych dla krajów (</w:t>
      </w:r>
      <w:proofErr w:type="spellStart"/>
      <w:r w:rsidRPr="00267F8C">
        <w:rPr>
          <w:rFonts w:ascii="Times New Roman" w:hAnsi="Times New Roman" w:cs="Times New Roman"/>
        </w:rPr>
        <w:t>Barro</w:t>
      </w:r>
      <w:proofErr w:type="spellEnd"/>
      <w:r w:rsidRPr="00267F8C">
        <w:rPr>
          <w:rFonts w:ascii="Times New Roman" w:hAnsi="Times New Roman" w:cs="Times New Roman"/>
        </w:rPr>
        <w:t xml:space="preserve">, 2015; </w:t>
      </w:r>
      <w:proofErr w:type="spellStart"/>
      <w:r w:rsidRPr="00267F8C">
        <w:rPr>
          <w:rFonts w:ascii="Times New Roman" w:hAnsi="Times New Roman" w:cs="Times New Roman"/>
        </w:rPr>
        <w:t>Bahar</w:t>
      </w:r>
      <w:proofErr w:type="spellEnd"/>
      <w:r w:rsidRPr="00267F8C">
        <w:rPr>
          <w:rFonts w:ascii="Times New Roman" w:hAnsi="Times New Roman" w:cs="Times New Roman"/>
        </w:rPr>
        <w:t xml:space="preserve"> i Santos, 2018). ... Dlatego stosujemy dwuetapowy efektywny estymator GMM z jednorocznym opóźnieniem potencjalnie endogenicznej zmiennej jako instrumentem.</w:t>
      </w:r>
    </w:p>
    <w:p w:rsidR="00BF038D" w:rsidRDefault="00BF038D" w:rsidP="00BF038D">
      <w:pPr>
        <w:rPr>
          <w:rFonts w:ascii="Times New Roman" w:hAnsi="Times New Roman" w:cs="Times New Roman"/>
          <w:i/>
        </w:rPr>
      </w:pPr>
      <w:r w:rsidRPr="001D66EA">
        <w:rPr>
          <w:rFonts w:ascii="Times New Roman" w:hAnsi="Times New Roman" w:cs="Times New Roman"/>
          <w:b/>
        </w:rPr>
        <w:lastRenderedPageBreak/>
        <w:t>Uwagi:</w:t>
      </w:r>
      <w:r w:rsidRPr="00267F8C">
        <w:rPr>
          <w:rFonts w:ascii="Times New Roman" w:hAnsi="Times New Roman" w:cs="Times New Roman"/>
        </w:rPr>
        <w:t xml:space="preserve"> Na tym etapie opis strategii estymacji utrudnia dokładne zrozumienie, w jaki sposób traktowane są składnik dynamiczny oraz problem endogeniczności. Model obejmuje opóźnioną zmienną zależną i nie zawiera efektów stałych dla krajów, jednak tekst ogranicza się do ogólnego stwierdzenia o „dwuetapowym efektywnym estymatorze GMM z jednorocznym opóźnieniem potencjalnie endogenicznej zmiennej jako instrumentem”, a przypisy do tabel wskazują, że instrumentowana jest wyłącznie zmienna </w:t>
      </w:r>
      <w:r w:rsidRPr="001D66EA">
        <w:rPr>
          <w:rFonts w:ascii="Times New Roman" w:hAnsi="Times New Roman" w:cs="Times New Roman"/>
          <w:i/>
        </w:rPr>
        <w:t>NR</w:t>
      </w:r>
      <w:r w:rsidRPr="001D66EA">
        <w:rPr>
          <w:rFonts w:ascii="Times New Roman" w:hAnsi="Times New Roman" w:cs="Times New Roman"/>
          <w:i/>
          <w:vertAlign w:val="subscript"/>
        </w:rPr>
        <w:t>c,t−1</w:t>
      </w:r>
      <w:r w:rsidRPr="001D66EA">
        <w:rPr>
          <w:rFonts w:ascii="Times New Roman" w:hAnsi="Times New Roman" w:cs="Times New Roman"/>
          <w:i/>
        </w:rPr>
        <w:t>.</w:t>
      </w:r>
    </w:p>
    <w:p w:rsidR="001D66EA" w:rsidRPr="00267F8C" w:rsidRDefault="001D66EA"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 xml:space="preserve">Dla czytelników zaznajomionych z metodami paneli dynamicznych pomocne byłoby bardziej precyzyjne wyjaśnienie, które zmienne są traktowane jako endogeniczne lub predeterminowane, jakie instrumenty są stosowane dla każdej z nich oraz jaka dokładnie implementacja GMM została wykorzystana (np. skumulowana estymacja IV–GMM w poziomach, a nie GMM różnicowa lub systemowa). W szczególności, zważywszy na obecność y_{c,t−1} oraz prawdopodobne istnienie nieobserwowalnej, niezmiennej w czasie heterogeniczności między krajami, warto byłoby wyjaśnić, dlaczego y_{c,t−1} pozostawiono bez instrumentacji oraz w jaki sposób ewentualne obciążenie współczynnika konwergencji jest oceniane w relacji do korzyści wynikających z zachowania zmienności </w:t>
      </w:r>
      <w:proofErr w:type="spellStart"/>
      <w:r w:rsidRPr="00267F8C">
        <w:rPr>
          <w:rFonts w:ascii="Times New Roman" w:hAnsi="Times New Roman" w:cs="Times New Roman"/>
        </w:rPr>
        <w:t>międzykrajowej</w:t>
      </w:r>
      <w:proofErr w:type="spellEnd"/>
      <w:r w:rsidRPr="00267F8C">
        <w:rPr>
          <w:rFonts w:ascii="Times New Roman" w:hAnsi="Times New Roman" w:cs="Times New Roman"/>
        </w:rPr>
        <w:t xml:space="preserve"> udziału zasobów.</w:t>
      </w:r>
    </w:p>
    <w:p w:rsidR="001D66EA" w:rsidRPr="00267F8C" w:rsidRDefault="001D66EA"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1D66EA" w:rsidRDefault="00BF038D" w:rsidP="00BF038D">
      <w:pPr>
        <w:rPr>
          <w:rFonts w:ascii="Times New Roman" w:hAnsi="Times New Roman" w:cs="Times New Roman"/>
          <w:b/>
        </w:rPr>
      </w:pPr>
      <w:r w:rsidRPr="001D66EA">
        <w:rPr>
          <w:rFonts w:ascii="Times New Roman" w:hAnsi="Times New Roman" w:cs="Times New Roman"/>
          <w:b/>
        </w:rPr>
        <w:t>39. Wykorzystanie indeksu cen jako substytutu efektów czasowych</w:t>
      </w:r>
    </w:p>
    <w:p w:rsidR="00BF038D" w:rsidRDefault="00BF038D" w:rsidP="00BF038D">
      <w:pPr>
        <w:rPr>
          <w:rFonts w:ascii="Times New Roman" w:hAnsi="Times New Roman" w:cs="Times New Roman"/>
        </w:rPr>
      </w:pPr>
      <w:r w:rsidRPr="001D66EA">
        <w:rPr>
          <w:rFonts w:ascii="Times New Roman" w:hAnsi="Times New Roman" w:cs="Times New Roman"/>
          <w:b/>
        </w:rPr>
        <w:t>Cytat:</w:t>
      </w:r>
      <w:r w:rsidRPr="00267F8C">
        <w:rPr>
          <w:rFonts w:ascii="Times New Roman" w:hAnsi="Times New Roman" w:cs="Times New Roman"/>
        </w:rPr>
        <w:t xml:space="preserve"> &gt; Ponadto, aby uwzględnić zmienność cen zasobów naturalnych, włączamy indeks cen zasobów P_{t}^{NR} jako substytut efektów czasowych. Wreszcie eksport zasobów naturalnych cechuje się wysoką trwałością, co pokazano w tabeli A.14 w Załączniku A, ze względu na względnie stabilne poziomy wydobycia i produkcji.</w:t>
      </w:r>
    </w:p>
    <w:p w:rsidR="001D66EA" w:rsidRPr="00267F8C" w:rsidRDefault="001D66EA" w:rsidP="00BF038D">
      <w:pPr>
        <w:rPr>
          <w:rFonts w:ascii="Times New Roman" w:hAnsi="Times New Roman" w:cs="Times New Roman"/>
        </w:rPr>
      </w:pPr>
    </w:p>
    <w:p w:rsidR="00BF038D" w:rsidRDefault="00BF038D" w:rsidP="00BF038D">
      <w:pPr>
        <w:rPr>
          <w:rFonts w:ascii="Times New Roman" w:hAnsi="Times New Roman" w:cs="Times New Roman"/>
        </w:rPr>
      </w:pPr>
      <w:r w:rsidRPr="00D55D9B">
        <w:rPr>
          <w:rFonts w:ascii="Times New Roman" w:hAnsi="Times New Roman" w:cs="Times New Roman"/>
          <w:b/>
        </w:rPr>
        <w:t>Uwagi:</w:t>
      </w:r>
      <w:r w:rsidRPr="00267F8C">
        <w:rPr>
          <w:rFonts w:ascii="Times New Roman" w:hAnsi="Times New Roman" w:cs="Times New Roman"/>
        </w:rPr>
        <w:t xml:space="preserve"> W specyfikacji bazowej stwierdza Pa</w:t>
      </w:r>
      <w:r w:rsidR="00D55D9B">
        <w:rPr>
          <w:rFonts w:ascii="Times New Roman" w:hAnsi="Times New Roman" w:cs="Times New Roman"/>
        </w:rPr>
        <w:t>ni</w:t>
      </w:r>
      <w:r w:rsidRPr="00267F8C">
        <w:rPr>
          <w:rFonts w:ascii="Times New Roman" w:hAnsi="Times New Roman" w:cs="Times New Roman"/>
        </w:rPr>
        <w:t xml:space="preserve">, że indeks cen zasobów </w:t>
      </w:r>
      <w:proofErr w:type="spellStart"/>
      <w:r w:rsidRPr="00267F8C">
        <w:rPr>
          <w:rFonts w:ascii="Times New Roman" w:hAnsi="Times New Roman" w:cs="Times New Roman"/>
        </w:rPr>
        <w:t>P_t</w:t>
      </w:r>
      <w:proofErr w:type="spellEnd"/>
      <w:r w:rsidRPr="00267F8C">
        <w:rPr>
          <w:rFonts w:ascii="Times New Roman" w:hAnsi="Times New Roman" w:cs="Times New Roman"/>
        </w:rPr>
        <w:t>^{NR} jest uwzględniany „jako substytut efektów czasowych”. Rodzi to dwa pytania.</w:t>
      </w:r>
    </w:p>
    <w:p w:rsidR="00D55D9B" w:rsidRPr="00267F8C" w:rsidRDefault="00D55D9B" w:rsidP="00BF038D">
      <w:pPr>
        <w:rPr>
          <w:rFonts w:ascii="Times New Roman" w:hAnsi="Times New Roman" w:cs="Times New Roman"/>
        </w:rPr>
      </w:pPr>
    </w:p>
    <w:p w:rsidR="00BF038D" w:rsidRDefault="00D55D9B" w:rsidP="00D55D9B">
      <w:pPr>
        <w:rPr>
          <w:rFonts w:ascii="Times New Roman" w:hAnsi="Times New Roman" w:cs="Times New Roman"/>
        </w:rPr>
      </w:pPr>
      <w:r w:rsidRPr="00D55D9B">
        <w:rPr>
          <w:rFonts w:ascii="Times New Roman" w:hAnsi="Times New Roman" w:cs="Times New Roman"/>
        </w:rPr>
        <w:t>Po pierwsze, użycie skalarnego indeksu cen zamiast pełnego zestawu rocznych zmiennych pozornych implicite ogranicza sposób, w jaki</w:t>
      </w:r>
      <w:r>
        <w:rPr>
          <w:rFonts w:ascii="Times New Roman" w:hAnsi="Times New Roman" w:cs="Times New Roman"/>
        </w:rPr>
        <w:t xml:space="preserve"> </w:t>
      </w:r>
      <w:r w:rsidRPr="00D55D9B">
        <w:rPr>
          <w:rFonts w:ascii="Times New Roman" w:hAnsi="Times New Roman" w:cs="Times New Roman"/>
        </w:rPr>
        <w:t>wstrząsy typowe wchodzą do modelu, zakładając w efekcie, że główne globalne siły istotne dla</w:t>
      </w:r>
      <w:r>
        <w:rPr>
          <w:rFonts w:ascii="Times New Roman" w:hAnsi="Times New Roman" w:cs="Times New Roman"/>
        </w:rPr>
        <w:t xml:space="preserve"> </w:t>
      </w:r>
      <w:r w:rsidRPr="00D55D9B">
        <w:rPr>
          <w:rFonts w:ascii="Times New Roman" w:hAnsi="Times New Roman" w:cs="Times New Roman"/>
        </w:rPr>
        <w:t>wzrostu produktywności działają poprzez ceny zasobów naturalnych</w:t>
      </w:r>
      <w:r w:rsidR="00BF038D" w:rsidRPr="00267F8C">
        <w:rPr>
          <w:rFonts w:ascii="Times New Roman" w:hAnsi="Times New Roman" w:cs="Times New Roman"/>
        </w:rPr>
        <w:t xml:space="preserve">. Warto byłoby krótko wyjaśnić ten kompromis — mianowicie, że pozwala on zidentyfikować wpływ globalnych zmian cen surowców na wzrost, kosztem niepełnego uchwycenia innych szoków specyficznych dla poszczególnych lat — oraz, jeśli to możliwe, wskazać, czy dodanie pełnych efektów rocznych (i usunięcie </w:t>
      </w:r>
      <w:proofErr w:type="spellStart"/>
      <w:r w:rsidR="00BF038D" w:rsidRPr="00267F8C">
        <w:rPr>
          <w:rFonts w:ascii="Times New Roman" w:hAnsi="Times New Roman" w:cs="Times New Roman"/>
        </w:rPr>
        <w:t>P_t</w:t>
      </w:r>
      <w:proofErr w:type="spellEnd"/>
      <w:r w:rsidR="00BF038D" w:rsidRPr="00267F8C">
        <w:rPr>
          <w:rFonts w:ascii="Times New Roman" w:hAnsi="Times New Roman" w:cs="Times New Roman"/>
        </w:rPr>
        <w:t>^{NR}) istotnie zmienia oszacowany wpływ NR_{c,t−1}.</w:t>
      </w:r>
    </w:p>
    <w:p w:rsidR="00D55D9B" w:rsidRPr="00267F8C" w:rsidRDefault="00D55D9B" w:rsidP="00D55D9B">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 xml:space="preserve">Po drugie, oznaczenie </w:t>
      </w:r>
      <w:proofErr w:type="spellStart"/>
      <w:r w:rsidRPr="00267F8C">
        <w:rPr>
          <w:rFonts w:ascii="Times New Roman" w:hAnsi="Times New Roman" w:cs="Times New Roman"/>
        </w:rPr>
        <w:t>P_t</w:t>
      </w:r>
      <w:proofErr w:type="spellEnd"/>
      <w:r w:rsidRPr="00267F8C">
        <w:rPr>
          <w:rFonts w:ascii="Times New Roman" w:hAnsi="Times New Roman" w:cs="Times New Roman"/>
        </w:rPr>
        <w:t xml:space="preserve">^{NR} ma charakter ogólny, podczas gdy tekst w rozdziale 3 odnosi się do „rocznych indeksów cen wybranych zasobów naturalnych”. Doprecyzowanie w tekście głównym, który konkretny indeks cen jest wykorzystywany w każdej z regresji specyficznych dla danej grupy zasobów (TOTAL NR, FUEL, METAL, MINERAL itd.) oraz czy różnią się one między kolumnami w tabelach 4.2–4.3 i 5.2–5.4, ułatwiłoby interpretację roli </w:t>
      </w:r>
      <w:proofErr w:type="spellStart"/>
      <w:r w:rsidRPr="00267F8C">
        <w:rPr>
          <w:rFonts w:ascii="Times New Roman" w:hAnsi="Times New Roman" w:cs="Times New Roman"/>
        </w:rPr>
        <w:t>P_t</w:t>
      </w:r>
      <w:proofErr w:type="spellEnd"/>
      <w:r w:rsidRPr="00267F8C">
        <w:rPr>
          <w:rFonts w:ascii="Times New Roman" w:hAnsi="Times New Roman" w:cs="Times New Roman"/>
        </w:rPr>
        <w:t>^{NR} i odpowiadających mu współczynników.</w:t>
      </w:r>
    </w:p>
    <w:p w:rsidR="00D55D9B" w:rsidRPr="00267F8C" w:rsidRDefault="00D55D9B"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D55D9B" w:rsidRDefault="00BF038D" w:rsidP="00BF038D">
      <w:pPr>
        <w:rPr>
          <w:rFonts w:ascii="Times New Roman" w:hAnsi="Times New Roman" w:cs="Times New Roman"/>
          <w:b/>
        </w:rPr>
      </w:pPr>
      <w:r w:rsidRPr="00D55D9B">
        <w:rPr>
          <w:rFonts w:ascii="Times New Roman" w:hAnsi="Times New Roman" w:cs="Times New Roman"/>
          <w:b/>
        </w:rPr>
        <w:t>40. Interpretacja wielkości współczynników w wynikach regresji</w:t>
      </w:r>
    </w:p>
    <w:p w:rsidR="00BF038D" w:rsidRDefault="00BF038D" w:rsidP="00BF038D">
      <w:pPr>
        <w:rPr>
          <w:rFonts w:ascii="Times New Roman" w:hAnsi="Times New Roman" w:cs="Times New Roman"/>
        </w:rPr>
      </w:pPr>
      <w:r w:rsidRPr="00D55D9B">
        <w:rPr>
          <w:rFonts w:ascii="Times New Roman" w:hAnsi="Times New Roman" w:cs="Times New Roman"/>
          <w:b/>
        </w:rPr>
        <w:t>Cytat:</w:t>
      </w:r>
      <w:r w:rsidRPr="00267F8C">
        <w:rPr>
          <w:rFonts w:ascii="Times New Roman" w:hAnsi="Times New Roman" w:cs="Times New Roman"/>
        </w:rPr>
        <w:t xml:space="preserve"> &gt; Przy pozostałych czynnikach niezmienionych, wzrost udziału eksportu TOTALNR o 1 punkt procentowy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jest związany ze wzrostem stopy wzrostu produktywności o 1,685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 </w:t>
      </w:r>
      <w:proofErr w:type="spellStart"/>
      <w:r w:rsidRPr="00267F8C">
        <w:rPr>
          <w:rFonts w:ascii="Times New Roman" w:hAnsi="Times New Roman" w:cs="Times New Roman"/>
        </w:rPr>
        <w:t>Ceteris</w:t>
      </w:r>
      <w:proofErr w:type="spellEnd"/>
      <w:r w:rsidRPr="00267F8C">
        <w:rPr>
          <w:rFonts w:ascii="Times New Roman" w:hAnsi="Times New Roman" w:cs="Times New Roman"/>
        </w:rPr>
        <w:t xml:space="preserve"> paribus wzrost udziału eksportu paliw o 1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jest związany ze wzrostem stopy wzrostu produkcji na pracownika o 2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Oleje naftowe wykazują podobny, choć nieco </w:t>
      </w:r>
      <w:r w:rsidRPr="00267F8C">
        <w:rPr>
          <w:rFonts w:ascii="Times New Roman" w:hAnsi="Times New Roman" w:cs="Times New Roman"/>
        </w:rPr>
        <w:lastRenderedPageBreak/>
        <w:t xml:space="preserve">silniejszy, związek z produktywnością (wzrost o </w:t>
      </w:r>
      <w:r w:rsidR="00C36A2B">
        <w:rPr>
          <w:rFonts w:ascii="Times New Roman" w:hAnsi="Times New Roman" w:cs="Times New Roman"/>
        </w:rPr>
        <w:t>$</w:t>
      </w:r>
      <w:r w:rsidRPr="00267F8C">
        <w:rPr>
          <w:rFonts w:ascii="Times New Roman" w:hAnsi="Times New Roman" w:cs="Times New Roman"/>
        </w:rPr>
        <w:t xml:space="preserve">2,37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Z kolei zasoby mineralne utrudniają proces doganiania (spadek o 3,14 </w:t>
      </w:r>
      <w:proofErr w:type="spellStart"/>
      <w:r w:rsidRPr="00267F8C">
        <w:rPr>
          <w:rFonts w:ascii="Times New Roman" w:hAnsi="Times New Roman" w:cs="Times New Roman"/>
        </w:rPr>
        <w:t>p.p</w:t>
      </w:r>
      <w:proofErr w:type="spellEnd"/>
      <w:r w:rsidRPr="00267F8C">
        <w:rPr>
          <w:rFonts w:ascii="Times New Roman" w:hAnsi="Times New Roman" w:cs="Times New Roman"/>
        </w:rPr>
        <w:t>.).</w:t>
      </w:r>
    </w:p>
    <w:p w:rsidR="00C36A2B" w:rsidRPr="00267F8C" w:rsidRDefault="00C36A2B" w:rsidP="00BF038D">
      <w:pPr>
        <w:rPr>
          <w:rFonts w:ascii="Times New Roman" w:hAnsi="Times New Roman" w:cs="Times New Roman"/>
        </w:rPr>
      </w:pPr>
    </w:p>
    <w:p w:rsidR="00BF038D" w:rsidRDefault="00BF038D" w:rsidP="00BF038D">
      <w:pPr>
        <w:rPr>
          <w:rFonts w:ascii="Times New Roman" w:hAnsi="Times New Roman" w:cs="Times New Roman"/>
        </w:rPr>
      </w:pPr>
      <w:r w:rsidRPr="00C36A2B">
        <w:rPr>
          <w:rFonts w:ascii="Times New Roman" w:hAnsi="Times New Roman" w:cs="Times New Roman"/>
          <w:b/>
        </w:rPr>
        <w:t>Uwagi:</w:t>
      </w:r>
      <w:r w:rsidRPr="00267F8C">
        <w:rPr>
          <w:rFonts w:ascii="Times New Roman" w:hAnsi="Times New Roman" w:cs="Times New Roman"/>
        </w:rPr>
        <w:t xml:space="preserve"> Efekty krańcowe zmiennych udziału zasobów i technologii wydają się być błędnie interpretowane w całej dyskusji wyników regresji w sekcjach 4.2, 4.3 oraz 5.2. Zgodnie z notami pod tabelami oraz statystykami opisowymi zmienne NR i TECH wchodzą do regresji jako udziały wyrażone w postaci ułamków dziesiętnych z przedziału od 0 do 1, podczas gdy zmienne zależne są wyrażone albo jako stopy wzrostu w procentach, albo jako indeksy logarytmiczne. Przy takiej skali współczynnik równy 1,685 przy NR_{c,t−1} w </w:t>
      </w:r>
      <w:r w:rsidR="00C36A2B">
        <w:rPr>
          <w:rFonts w:ascii="Times New Roman" w:hAnsi="Times New Roman" w:cs="Times New Roman"/>
        </w:rPr>
        <w:t>T</w:t>
      </w:r>
      <w:r w:rsidRPr="00267F8C">
        <w:rPr>
          <w:rFonts w:ascii="Times New Roman" w:hAnsi="Times New Roman" w:cs="Times New Roman"/>
        </w:rPr>
        <w:t xml:space="preserve">abeli 4.2 oznacza, że wzrost udziału o jedną jednostkę (z 0 do 1) podnosi stopę wzrostu o 1,685 punktu procentowego; wzrost udziału o 1 punkt procentowy (tj. 0,01) zmienia stopę wzrostu jedynie o około 1,685 × 0,01 ≈ 0,017 punktu procentowego. Podobne rozbieżności rzędu 100 pojawiają się w sekcji 4.3 dla współczynników TECH i NR w </w:t>
      </w:r>
      <w:r w:rsidR="00C36A2B">
        <w:rPr>
          <w:rFonts w:ascii="Times New Roman" w:hAnsi="Times New Roman" w:cs="Times New Roman"/>
        </w:rPr>
        <w:t>T</w:t>
      </w:r>
      <w:r w:rsidRPr="00267F8C">
        <w:rPr>
          <w:rFonts w:ascii="Times New Roman" w:hAnsi="Times New Roman" w:cs="Times New Roman"/>
        </w:rPr>
        <w:t xml:space="preserve">abeli 4.4 oraz w sekcji 5.2 dla specyfikacji logarytmiczno-poziomowej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RT_{</w:t>
      </w:r>
      <w:proofErr w:type="spellStart"/>
      <w:r w:rsidRPr="00267F8C">
        <w:rPr>
          <w:rFonts w:ascii="Times New Roman" w:hAnsi="Times New Roman" w:cs="Times New Roman"/>
        </w:rPr>
        <w:t>ct</w:t>
      </w:r>
      <w:proofErr w:type="spellEnd"/>
      <w:r w:rsidRPr="00267F8C">
        <w:rPr>
          <w:rFonts w:ascii="Times New Roman" w:hAnsi="Times New Roman" w:cs="Times New Roman"/>
        </w:rPr>
        <w:t xml:space="preserve">} w </w:t>
      </w:r>
      <w:r w:rsidR="00C36A2B">
        <w:rPr>
          <w:rFonts w:ascii="Times New Roman" w:hAnsi="Times New Roman" w:cs="Times New Roman"/>
        </w:rPr>
        <w:t>T</w:t>
      </w:r>
      <w:r w:rsidRPr="00267F8C">
        <w:rPr>
          <w:rFonts w:ascii="Times New Roman" w:hAnsi="Times New Roman" w:cs="Times New Roman"/>
        </w:rPr>
        <w:t xml:space="preserve">abeli 5.2, gdzie tekst dodatkowo miesza zmiany procentowe ze zmianami wyrażonymi w punktach procentowych. Same oszacowania są poprawne, jednak komentarz słowny obecnie zawyża ekonomiczne rozmiary efektów i myli poziomy z logarytmami; istotne byłoby zatem ponowne skalibrowanie wszystkich interpretacji werbalnych do udokumentowanej skali 0–1 dla </w:t>
      </w:r>
      <w:proofErr w:type="spellStart"/>
      <w:r w:rsidRPr="00267F8C">
        <w:rPr>
          <w:rFonts w:ascii="Times New Roman" w:hAnsi="Times New Roman" w:cs="Times New Roman"/>
        </w:rPr>
        <w:t>regresorów</w:t>
      </w:r>
      <w:proofErr w:type="spellEnd"/>
      <w:r w:rsidRPr="00267F8C">
        <w:rPr>
          <w:rFonts w:ascii="Times New Roman" w:hAnsi="Times New Roman" w:cs="Times New Roman"/>
        </w:rPr>
        <w:t xml:space="preserve"> oraz do logarytmicznej specyfikacji regresji dotyczących dywersyfikacji.</w:t>
      </w:r>
    </w:p>
    <w:p w:rsidR="00C36A2B" w:rsidRPr="00267F8C" w:rsidRDefault="00C36A2B"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C36A2B" w:rsidRDefault="00BF038D" w:rsidP="00BF038D">
      <w:pPr>
        <w:rPr>
          <w:rFonts w:ascii="Times New Roman" w:hAnsi="Times New Roman" w:cs="Times New Roman"/>
          <w:b/>
        </w:rPr>
      </w:pPr>
      <w:r w:rsidRPr="00C36A2B">
        <w:rPr>
          <w:rFonts w:ascii="Times New Roman" w:hAnsi="Times New Roman" w:cs="Times New Roman"/>
          <w:b/>
        </w:rPr>
        <w:t>41. Mylące omówienie wyników dotyczących wyrazu interakcyjnego w sekcji 4.3</w:t>
      </w:r>
    </w:p>
    <w:p w:rsidR="00BF038D" w:rsidRDefault="00BF038D" w:rsidP="00BF038D">
      <w:pPr>
        <w:rPr>
          <w:rFonts w:ascii="Times New Roman" w:hAnsi="Times New Roman" w:cs="Times New Roman"/>
        </w:rPr>
      </w:pPr>
      <w:r w:rsidRPr="00C36A2B">
        <w:rPr>
          <w:rFonts w:ascii="Times New Roman" w:hAnsi="Times New Roman" w:cs="Times New Roman"/>
          <w:b/>
        </w:rPr>
        <w:t>Cytat:</w:t>
      </w:r>
      <w:r w:rsidRPr="00267F8C">
        <w:rPr>
          <w:rFonts w:ascii="Times New Roman" w:hAnsi="Times New Roman" w:cs="Times New Roman"/>
        </w:rPr>
        <w:t xml:space="preserve"> &gt; Dodatkowo </w:t>
      </w:r>
      <w:r w:rsidR="00C36A2B">
        <w:rPr>
          <w:rFonts w:ascii="Times New Roman" w:hAnsi="Times New Roman" w:cs="Times New Roman"/>
        </w:rPr>
        <w:t>terminy negatywnej</w:t>
      </w:r>
      <w:r w:rsidRPr="00267F8C">
        <w:rPr>
          <w:rFonts w:ascii="Times New Roman" w:hAnsi="Times New Roman" w:cs="Times New Roman"/>
        </w:rPr>
        <w:t xml:space="preserve"> interakc</w:t>
      </w:r>
      <w:r w:rsidR="00C36A2B">
        <w:rPr>
          <w:rFonts w:ascii="Times New Roman" w:hAnsi="Times New Roman" w:cs="Times New Roman"/>
        </w:rPr>
        <w:t>ji</w:t>
      </w:r>
      <w:r w:rsidRPr="00267F8C">
        <w:rPr>
          <w:rFonts w:ascii="Times New Roman" w:hAnsi="Times New Roman" w:cs="Times New Roman"/>
        </w:rPr>
        <w:t xml:space="preserve"> sugerują, że dodawanie technologicznie zaawansowanych produktów do koszyka eksportowego opartego na zasobach mogłoby pogłębiać wzrost produkcji na pracownika. Niemniej jednak wyniki te są statystycznie nieistotne. Pozytywny wpływ specjalizacji technologicznej jest widoczny jedynie w wynikach empirycznych dotyczących zasobów mineralnych (zob. estymacja (5) w </w:t>
      </w:r>
      <w:r w:rsidR="00C36A2B">
        <w:rPr>
          <w:rFonts w:ascii="Times New Roman" w:hAnsi="Times New Roman" w:cs="Times New Roman"/>
        </w:rPr>
        <w:t>T</w:t>
      </w:r>
      <w:r w:rsidRPr="00267F8C">
        <w:rPr>
          <w:rFonts w:ascii="Times New Roman" w:hAnsi="Times New Roman" w:cs="Times New Roman"/>
        </w:rPr>
        <w:t>abeli 4.4).</w:t>
      </w:r>
    </w:p>
    <w:p w:rsidR="00C36A2B" w:rsidRPr="00267F8C" w:rsidRDefault="00C36A2B" w:rsidP="00BF038D">
      <w:pPr>
        <w:rPr>
          <w:rFonts w:ascii="Times New Roman" w:hAnsi="Times New Roman" w:cs="Times New Roman"/>
        </w:rPr>
      </w:pPr>
    </w:p>
    <w:p w:rsidR="00BF038D" w:rsidRPr="00267F8C" w:rsidRDefault="00BF038D" w:rsidP="00BF038D">
      <w:pPr>
        <w:rPr>
          <w:rFonts w:ascii="Times New Roman" w:hAnsi="Times New Roman" w:cs="Times New Roman"/>
        </w:rPr>
      </w:pPr>
      <w:r w:rsidRPr="00C36A2B">
        <w:rPr>
          <w:rFonts w:ascii="Times New Roman" w:hAnsi="Times New Roman" w:cs="Times New Roman"/>
          <w:b/>
        </w:rPr>
        <w:t>Uwagi:</w:t>
      </w:r>
      <w:r w:rsidRPr="00267F8C">
        <w:rPr>
          <w:rFonts w:ascii="Times New Roman" w:hAnsi="Times New Roman" w:cs="Times New Roman"/>
        </w:rPr>
        <w:t xml:space="preserve"> Akapit omawiający </w:t>
      </w:r>
      <w:r w:rsidR="00C36A2B">
        <w:rPr>
          <w:rFonts w:ascii="Times New Roman" w:hAnsi="Times New Roman" w:cs="Times New Roman"/>
        </w:rPr>
        <w:t>terminy</w:t>
      </w:r>
      <w:r w:rsidRPr="00267F8C">
        <w:rPr>
          <w:rFonts w:ascii="Times New Roman" w:hAnsi="Times New Roman" w:cs="Times New Roman"/>
        </w:rPr>
        <w:t xml:space="preserve"> interakcyjne w </w:t>
      </w:r>
      <w:r w:rsidR="00C36A2B">
        <w:rPr>
          <w:rFonts w:ascii="Times New Roman" w:hAnsi="Times New Roman" w:cs="Times New Roman"/>
        </w:rPr>
        <w:t>T</w:t>
      </w:r>
      <w:r w:rsidRPr="00267F8C">
        <w:rPr>
          <w:rFonts w:ascii="Times New Roman" w:hAnsi="Times New Roman" w:cs="Times New Roman"/>
        </w:rPr>
        <w:t xml:space="preserve">abeli 4.4 jest w obecnym brzmieniu trudny do interpretacji. Najpierw wskazuje, że wyrazy interakcyjne są głównie ujemne, a następnie stwierdza, że „wyniki te są statystycznie nieistotne”, by zaraz potem podkreślić „pozytywny wpływ specjalizacji technologicznej” w przypadku zasobów mineralnych. Chociaż uważna lektura oraz analiza </w:t>
      </w:r>
      <w:r w:rsidR="00C36A2B">
        <w:rPr>
          <w:rFonts w:ascii="Times New Roman" w:hAnsi="Times New Roman" w:cs="Times New Roman"/>
        </w:rPr>
        <w:t>T</w:t>
      </w:r>
      <w:r w:rsidRPr="00267F8C">
        <w:rPr>
          <w:rFonts w:ascii="Times New Roman" w:hAnsi="Times New Roman" w:cs="Times New Roman"/>
        </w:rPr>
        <w:t>abeli 4.4 pokazują, że przez „te wyniki” rozumie Pa</w:t>
      </w:r>
      <w:r w:rsidR="00C36A2B">
        <w:rPr>
          <w:rFonts w:ascii="Times New Roman" w:hAnsi="Times New Roman" w:cs="Times New Roman"/>
        </w:rPr>
        <w:t>ni</w:t>
      </w:r>
      <w:r w:rsidRPr="00267F8C">
        <w:rPr>
          <w:rFonts w:ascii="Times New Roman" w:hAnsi="Times New Roman" w:cs="Times New Roman"/>
        </w:rPr>
        <w:t xml:space="preserve"> wyłącznie ujemne interakcje (które rzeczywiście są nieistotne statystycznie), a przypadek MINERAL stanowi jedyny dodatni, słabo istotny wyraz interakcyjny, nie zostało to wyrażone explicite i może być łatwo odczytane jako sprzeczność. Ponadto sformułowanie „pogłębiać wzrost produkcji na pracownika” jest niejednoznaczne: przy ujemnych współczynnikach jaśniej byłoby stwierdzić, że dodawanie technologicznie zaawansowanych produktów ma tendencję do ograniczania lub osłabiania wzrostu produkcji na pracownika (lub pogłębiania już istniejącego spowolnienia). Doprecyzowanie, do czego odnosi się fraza „te wyniki”, oraz przeformułowanie tego zdania ułatwiłoby czytelnikom śledzenie logiki wyników dotyczących interakcji.</w:t>
      </w:r>
    </w:p>
    <w:p w:rsidR="00BF038D" w:rsidRPr="00267F8C" w:rsidRDefault="00BF038D" w:rsidP="00BF038D">
      <w:pPr>
        <w:rPr>
          <w:rFonts w:ascii="Times New Roman" w:hAnsi="Times New Roman" w:cs="Times New Roman"/>
        </w:rPr>
      </w:pPr>
    </w:p>
    <w:p w:rsidR="00BF038D" w:rsidRPr="00C36A2B" w:rsidRDefault="00BF038D" w:rsidP="00BF038D">
      <w:pPr>
        <w:rPr>
          <w:rFonts w:ascii="Times New Roman" w:hAnsi="Times New Roman" w:cs="Times New Roman"/>
          <w:b/>
        </w:rPr>
      </w:pPr>
      <w:r w:rsidRPr="00C36A2B">
        <w:rPr>
          <w:rFonts w:ascii="Times New Roman" w:hAnsi="Times New Roman" w:cs="Times New Roman"/>
          <w:b/>
        </w:rPr>
        <w:t>42. Niejasny dobór instrumentu w regresjach dotyczących dywersyfikacji</w:t>
      </w:r>
    </w:p>
    <w:p w:rsidR="00BF038D" w:rsidRPr="00267F8C" w:rsidRDefault="00BF038D" w:rsidP="00BF038D">
      <w:pPr>
        <w:rPr>
          <w:rFonts w:ascii="Times New Roman" w:hAnsi="Times New Roman" w:cs="Times New Roman"/>
        </w:rPr>
      </w:pPr>
      <w:r w:rsidRPr="00C36A2B">
        <w:rPr>
          <w:rFonts w:ascii="Times New Roman" w:hAnsi="Times New Roman" w:cs="Times New Roman"/>
          <w:b/>
        </w:rPr>
        <w:t>Cytat:</w:t>
      </w:r>
      <w:r w:rsidRPr="00267F8C">
        <w:rPr>
          <w:rFonts w:ascii="Times New Roman" w:hAnsi="Times New Roman" w:cs="Times New Roman"/>
        </w:rPr>
        <w:t xml:space="preserve"> &gt; Uwag</w:t>
      </w:r>
      <w:r w:rsidR="00C36A2B">
        <w:rPr>
          <w:rFonts w:ascii="Times New Roman" w:hAnsi="Times New Roman" w:cs="Times New Roman"/>
        </w:rPr>
        <w:t>a</w:t>
      </w:r>
      <w:r w:rsidRPr="00267F8C">
        <w:rPr>
          <w:rFonts w:ascii="Times New Roman" w:hAnsi="Times New Roman" w:cs="Times New Roman"/>
        </w:rPr>
        <w:t xml:space="preserve">: ,, oznaczają istotność odpowiednio na poziomie 1%, 5% i 10%; odporne błędy standardowe w nawiasach; wszystkie specyfikacje zawierają efekty czasowe w postaci indeksów cen zasobów naturalnych </w:t>
      </w:r>
      <w:r w:rsidR="00C36A2B">
        <w:rPr>
          <w:rFonts w:ascii="Times New Roman" w:hAnsi="Times New Roman" w:cs="Times New Roman"/>
        </w:rPr>
        <w:t>$</w:t>
      </w:r>
      <w:r w:rsidRPr="00267F8C">
        <w:rPr>
          <w:rFonts w:ascii="Times New Roman" w:hAnsi="Times New Roman" w:cs="Times New Roman"/>
        </w:rPr>
        <w:t>\</w:t>
      </w:r>
      <w:proofErr w:type="spellStart"/>
      <w:r w:rsidRPr="00267F8C">
        <w:rPr>
          <w:rFonts w:ascii="Times New Roman" w:hAnsi="Times New Roman" w:cs="Times New Roman"/>
        </w:rPr>
        <w:t>left</w:t>
      </w:r>
      <w:proofErr w:type="spellEnd"/>
      <w:r w:rsidRPr="00267F8C">
        <w:rPr>
          <w:rFonts w:ascii="Times New Roman" w:hAnsi="Times New Roman" w:cs="Times New Roman"/>
        </w:rPr>
        <w:t>(P_{t}^{NR}\</w:t>
      </w:r>
      <w:proofErr w:type="spellStart"/>
      <w:r w:rsidRPr="00267F8C">
        <w:rPr>
          <w:rFonts w:ascii="Times New Roman" w:hAnsi="Times New Roman" w:cs="Times New Roman"/>
        </w:rPr>
        <w:t>right</w:t>
      </w:r>
      <w:proofErr w:type="spellEnd"/>
      <w:r w:rsidR="00C36A2B">
        <w:rPr>
          <w:rFonts w:ascii="Times New Roman" w:hAnsi="Times New Roman" w:cs="Times New Roman"/>
        </w:rPr>
        <w:t>)$</w:t>
      </w:r>
      <w:r w:rsidRPr="00267F8C">
        <w:rPr>
          <w:rFonts w:ascii="Times New Roman" w:hAnsi="Times New Roman" w:cs="Times New Roman"/>
        </w:rPr>
        <w:t xml:space="preserve">; K-P odnosi się do statystyk testu </w:t>
      </w:r>
      <w:proofErr w:type="spellStart"/>
      <w:r w:rsidRPr="00267F8C">
        <w:rPr>
          <w:rFonts w:ascii="Times New Roman" w:hAnsi="Times New Roman" w:cs="Times New Roman"/>
        </w:rPr>
        <w:t>Kleibergena-Paapa</w:t>
      </w:r>
      <w:proofErr w:type="spellEnd"/>
      <w:r w:rsidRPr="00267F8C">
        <w:rPr>
          <w:rFonts w:ascii="Times New Roman" w:hAnsi="Times New Roman" w:cs="Times New Roman"/>
        </w:rPr>
        <w:t>. Zmienna instrumentowana: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DEV_{c,t-1}). Stała uwzględniona – nie raportowano.</w:t>
      </w:r>
    </w:p>
    <w:p w:rsidR="00BF038D" w:rsidRDefault="00BF038D" w:rsidP="00BF038D">
      <w:pPr>
        <w:rPr>
          <w:rFonts w:ascii="Times New Roman" w:hAnsi="Times New Roman" w:cs="Times New Roman"/>
        </w:rPr>
      </w:pPr>
      <w:r w:rsidRPr="00C36A2B">
        <w:rPr>
          <w:rFonts w:ascii="Times New Roman" w:hAnsi="Times New Roman" w:cs="Times New Roman"/>
          <w:b/>
        </w:rPr>
        <w:lastRenderedPageBreak/>
        <w:t>Uwagi:</w:t>
      </w:r>
      <w:r w:rsidRPr="00267F8C">
        <w:rPr>
          <w:rFonts w:ascii="Times New Roman" w:hAnsi="Times New Roman" w:cs="Times New Roman"/>
        </w:rPr>
        <w:t xml:space="preserve"> Strategia estymacji dla równania (10) w sekcji 5.2 nie została jasno określona w tekście. Omówienie wprowadza model i definiuje (NR_{</w:t>
      </w:r>
      <w:proofErr w:type="spellStart"/>
      <w:r w:rsidRPr="00267F8C">
        <w:rPr>
          <w:rFonts w:ascii="Times New Roman" w:hAnsi="Times New Roman" w:cs="Times New Roman"/>
        </w:rPr>
        <w:t>ct</w:t>
      </w:r>
      <w:proofErr w:type="spellEnd"/>
      <w:r w:rsidRPr="00267F8C">
        <w:rPr>
          <w:rFonts w:ascii="Times New Roman" w:hAnsi="Times New Roman" w:cs="Times New Roman"/>
        </w:rPr>
        <w:t>}),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SIZE_{</w:t>
      </w:r>
      <w:proofErr w:type="spellStart"/>
      <w:r w:rsidRPr="00267F8C">
        <w:rPr>
          <w:rFonts w:ascii="Times New Roman" w:hAnsi="Times New Roman" w:cs="Times New Roman"/>
        </w:rPr>
        <w:t>ct</w:t>
      </w:r>
      <w:proofErr w:type="spellEnd"/>
      <w:r w:rsidRPr="00267F8C">
        <w:rPr>
          <w:rFonts w:ascii="Times New Roman" w:hAnsi="Times New Roman" w:cs="Times New Roman"/>
        </w:rPr>
        <w:t>}),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DEV_{c,t-1}) oraz geopolityczne zmienne kontrolne, ale nie wskazuje, czy równanie jest estymowane metodą OLS, efektów stałych, IV czy GMM, ani które </w:t>
      </w:r>
      <w:proofErr w:type="spellStart"/>
      <w:r w:rsidRPr="00267F8C">
        <w:rPr>
          <w:rFonts w:ascii="Times New Roman" w:hAnsi="Times New Roman" w:cs="Times New Roman"/>
        </w:rPr>
        <w:t>regresory</w:t>
      </w:r>
      <w:proofErr w:type="spellEnd"/>
      <w:r w:rsidRPr="00267F8C">
        <w:rPr>
          <w:rFonts w:ascii="Times New Roman" w:hAnsi="Times New Roman" w:cs="Times New Roman"/>
        </w:rPr>
        <w:t xml:space="preserve"> są traktowane jako endogeniczne. Dopiero noty do </w:t>
      </w:r>
      <w:r w:rsidR="00C36A2B">
        <w:rPr>
          <w:rFonts w:ascii="Times New Roman" w:hAnsi="Times New Roman" w:cs="Times New Roman"/>
        </w:rPr>
        <w:t>T</w:t>
      </w:r>
      <w:r w:rsidRPr="00267F8C">
        <w:rPr>
          <w:rFonts w:ascii="Times New Roman" w:hAnsi="Times New Roman" w:cs="Times New Roman"/>
        </w:rPr>
        <w:t>abel 5.2–5.4 ujawniają, że stosowany jest estymator typu IV oraz że instrumentowana jest zmienna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DEV_{c,t-1}) (raportowane są statystyki </w:t>
      </w:r>
      <w:proofErr w:type="spellStart"/>
      <w:r w:rsidRPr="00267F8C">
        <w:rPr>
          <w:rFonts w:ascii="Times New Roman" w:hAnsi="Times New Roman" w:cs="Times New Roman"/>
        </w:rPr>
        <w:t>Kleibergena</w:t>
      </w:r>
      <w:proofErr w:type="spellEnd"/>
      <w:r w:rsidRPr="00267F8C">
        <w:rPr>
          <w:rFonts w:ascii="Times New Roman" w:hAnsi="Times New Roman" w:cs="Times New Roman"/>
        </w:rPr>
        <w:t>–</w:t>
      </w:r>
      <w:proofErr w:type="spellStart"/>
      <w:r w:rsidRPr="00267F8C">
        <w:rPr>
          <w:rFonts w:ascii="Times New Roman" w:hAnsi="Times New Roman" w:cs="Times New Roman"/>
        </w:rPr>
        <w:t>Paapa</w:t>
      </w:r>
      <w:proofErr w:type="spellEnd"/>
      <w:r w:rsidRPr="00267F8C">
        <w:rPr>
          <w:rFonts w:ascii="Times New Roman" w:hAnsi="Times New Roman" w:cs="Times New Roman"/>
        </w:rPr>
        <w:t>), podczas gdy (NR_{</w:t>
      </w:r>
      <w:proofErr w:type="spellStart"/>
      <w:r w:rsidRPr="00267F8C">
        <w:rPr>
          <w:rFonts w:ascii="Times New Roman" w:hAnsi="Times New Roman" w:cs="Times New Roman"/>
        </w:rPr>
        <w:t>ct</w:t>
      </w:r>
      <w:proofErr w:type="spellEnd"/>
      <w:r w:rsidRPr="00267F8C">
        <w:rPr>
          <w:rFonts w:ascii="Times New Roman" w:hAnsi="Times New Roman" w:cs="Times New Roman"/>
        </w:rPr>
        <w:t>}) wydaje się być traktowana jako egzogeniczna.</w:t>
      </w:r>
    </w:p>
    <w:p w:rsidR="00C36A2B" w:rsidRPr="00267F8C" w:rsidRDefault="00C36A2B"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Ze względu na mechaniczny związek między strukturą eksportu a zarówno (NR_{</w:t>
      </w:r>
      <w:proofErr w:type="spellStart"/>
      <w:r w:rsidRPr="00267F8C">
        <w:rPr>
          <w:rFonts w:ascii="Times New Roman" w:hAnsi="Times New Roman" w:cs="Times New Roman"/>
        </w:rPr>
        <w:t>ct</w:t>
      </w:r>
      <w:proofErr w:type="spellEnd"/>
      <w:r w:rsidRPr="00267F8C">
        <w:rPr>
          <w:rFonts w:ascii="Times New Roman" w:hAnsi="Times New Roman" w:cs="Times New Roman"/>
        </w:rPr>
        <w:t>}), jak i (RT_{</w:t>
      </w:r>
      <w:proofErr w:type="spellStart"/>
      <w:r w:rsidRPr="00267F8C">
        <w:rPr>
          <w:rFonts w:ascii="Times New Roman" w:hAnsi="Times New Roman" w:cs="Times New Roman"/>
        </w:rPr>
        <w:t>ct</w:t>
      </w:r>
      <w:proofErr w:type="spellEnd"/>
      <w:r w:rsidRPr="00267F8C">
        <w:rPr>
          <w:rFonts w:ascii="Times New Roman" w:hAnsi="Times New Roman" w:cs="Times New Roman"/>
        </w:rPr>
        <w:t xml:space="preserve">}), a także na to, że w </w:t>
      </w:r>
      <w:r w:rsidR="00C36A2B">
        <w:rPr>
          <w:rFonts w:ascii="Times New Roman" w:hAnsi="Times New Roman" w:cs="Times New Roman"/>
        </w:rPr>
        <w:t>R</w:t>
      </w:r>
      <w:r w:rsidRPr="00267F8C">
        <w:rPr>
          <w:rFonts w:ascii="Times New Roman" w:hAnsi="Times New Roman" w:cs="Times New Roman"/>
        </w:rPr>
        <w:t>ozdziale 4 zależność od zasobów jest traktowana jako potencjalnie endogeniczna, istotne byłoby wyjaśnienie: (i) dlaczego opóźniony poziom rozwoju jest jedyną zmienną instrumentowaną w tym miejscu, (ii) jakie instrumenty wykorzystuje się dla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DEV_{c,t-1}), oraz (iii) dlaczego (NR_{</w:t>
      </w:r>
      <w:proofErr w:type="spellStart"/>
      <w:r w:rsidRPr="00267F8C">
        <w:rPr>
          <w:rFonts w:ascii="Times New Roman" w:hAnsi="Times New Roman" w:cs="Times New Roman"/>
        </w:rPr>
        <w:t>ct</w:t>
      </w:r>
      <w:proofErr w:type="spellEnd"/>
      <w:r w:rsidRPr="00267F8C">
        <w:rPr>
          <w:rFonts w:ascii="Times New Roman" w:hAnsi="Times New Roman" w:cs="Times New Roman"/>
        </w:rPr>
        <w:t>}) nie jest również traktowana jako endogeniczna w tym ujęciu. Bez takiego doprecyzowania w tekście głównym czytelnikowi trudno w pełni ocenić trafność regresji dotyczących dywersyfikacji.</w:t>
      </w:r>
    </w:p>
    <w:p w:rsidR="00E329CF" w:rsidRPr="00267F8C" w:rsidRDefault="00E329CF"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E329CF" w:rsidRDefault="00BF038D" w:rsidP="00BF038D">
      <w:pPr>
        <w:rPr>
          <w:rFonts w:ascii="Times New Roman" w:hAnsi="Times New Roman" w:cs="Times New Roman"/>
          <w:b/>
        </w:rPr>
      </w:pPr>
      <w:r w:rsidRPr="00E329CF">
        <w:rPr>
          <w:rFonts w:ascii="Times New Roman" w:hAnsi="Times New Roman" w:cs="Times New Roman"/>
          <w:b/>
        </w:rPr>
        <w:t xml:space="preserve">43. Interpretacja współczynnika regresji logarytmiczno-poziomowej w </w:t>
      </w:r>
      <w:proofErr w:type="spellStart"/>
      <w:r w:rsidRPr="00E329CF">
        <w:rPr>
          <w:rFonts w:ascii="Times New Roman" w:hAnsi="Times New Roman" w:cs="Times New Roman"/>
          <w:b/>
        </w:rPr>
        <w:t>sec:Diversification</w:t>
      </w:r>
      <w:proofErr w:type="spellEnd"/>
    </w:p>
    <w:p w:rsidR="00BF038D" w:rsidRDefault="00BF038D" w:rsidP="00BF038D">
      <w:pPr>
        <w:rPr>
          <w:rFonts w:ascii="Times New Roman" w:hAnsi="Times New Roman" w:cs="Times New Roman"/>
        </w:rPr>
      </w:pPr>
      <w:r w:rsidRPr="00E329CF">
        <w:rPr>
          <w:rFonts w:ascii="Times New Roman" w:hAnsi="Times New Roman" w:cs="Times New Roman"/>
          <w:b/>
        </w:rPr>
        <w:t>Cytat:</w:t>
      </w:r>
      <w:r w:rsidRPr="00267F8C">
        <w:rPr>
          <w:rFonts w:ascii="Times New Roman" w:hAnsi="Times New Roman" w:cs="Times New Roman"/>
        </w:rPr>
        <w:t xml:space="preserve"> &gt; Jeśli chodzi o zależność między zależnością od zasobów naturalnych a dywersyfikacją eksportu, wzrost udziału produktów TOTAL NR w całkowitym eksporcie kraju o 1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prowadzi do wzrostu wartości indeksu RT o 0,145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ceteris</w:t>
      </w:r>
      <w:proofErr w:type="spellEnd"/>
      <w:r w:rsidRPr="00267F8C">
        <w:rPr>
          <w:rFonts w:ascii="Times New Roman" w:hAnsi="Times New Roman" w:cs="Times New Roman"/>
        </w:rPr>
        <w:t xml:space="preserve"> paribus.</w:t>
      </w:r>
    </w:p>
    <w:p w:rsidR="00E329CF" w:rsidRPr="00267F8C" w:rsidRDefault="00E329CF" w:rsidP="00BF038D">
      <w:pPr>
        <w:rPr>
          <w:rFonts w:ascii="Times New Roman" w:hAnsi="Times New Roman" w:cs="Times New Roman"/>
        </w:rPr>
      </w:pPr>
    </w:p>
    <w:p w:rsidR="00BF038D" w:rsidRDefault="00BF038D" w:rsidP="00BF038D">
      <w:pPr>
        <w:rPr>
          <w:rFonts w:ascii="Times New Roman" w:hAnsi="Times New Roman" w:cs="Times New Roman"/>
        </w:rPr>
      </w:pPr>
      <w:r w:rsidRPr="00E329CF">
        <w:rPr>
          <w:rFonts w:ascii="Times New Roman" w:hAnsi="Times New Roman" w:cs="Times New Roman"/>
          <w:b/>
        </w:rPr>
        <w:t>Uwagi:</w:t>
      </w:r>
      <w:r w:rsidRPr="00267F8C">
        <w:rPr>
          <w:rFonts w:ascii="Times New Roman" w:hAnsi="Times New Roman" w:cs="Times New Roman"/>
        </w:rPr>
        <w:t xml:space="preserve"> Zdanie interpretujące współczynnik przy udziale TOTAL NR w równaniu (10) wydaje się niepoprawnie przedstawiać zarówno wielkość, jak i jednostki efektu. Ponieważ równanie (10) zostało wyspecyfikowane z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RT_{</w:t>
      </w:r>
      <w:proofErr w:type="spellStart"/>
      <w:r w:rsidRPr="00267F8C">
        <w:rPr>
          <w:rFonts w:ascii="Times New Roman" w:hAnsi="Times New Roman" w:cs="Times New Roman"/>
        </w:rPr>
        <w:t>ct</w:t>
      </w:r>
      <w:proofErr w:type="spellEnd"/>
      <w:r w:rsidRPr="00267F8C">
        <w:rPr>
          <w:rFonts w:ascii="Times New Roman" w:hAnsi="Times New Roman" w:cs="Times New Roman"/>
        </w:rPr>
        <w:t>}) jako zmienną zależną oraz (NR_{</w:t>
      </w:r>
      <w:proofErr w:type="spellStart"/>
      <w:r w:rsidRPr="00267F8C">
        <w:rPr>
          <w:rFonts w:ascii="Times New Roman" w:hAnsi="Times New Roman" w:cs="Times New Roman"/>
        </w:rPr>
        <w:t>ct</w:t>
      </w:r>
      <w:proofErr w:type="spellEnd"/>
      <w:r w:rsidRPr="00267F8C">
        <w:rPr>
          <w:rFonts w:ascii="Times New Roman" w:hAnsi="Times New Roman" w:cs="Times New Roman"/>
        </w:rPr>
        <w:t>}) jako udziałem z przedziału od 0 do 1, współczynnik 0,145 implikuje, że wzrost (NR_{</w:t>
      </w:r>
      <w:proofErr w:type="spellStart"/>
      <w:r w:rsidRPr="00267F8C">
        <w:rPr>
          <w:rFonts w:ascii="Times New Roman" w:hAnsi="Times New Roman" w:cs="Times New Roman"/>
        </w:rPr>
        <w:t>ct</w:t>
      </w:r>
      <w:proofErr w:type="spellEnd"/>
      <w:r w:rsidRPr="00267F8C">
        <w:rPr>
          <w:rFonts w:ascii="Times New Roman" w:hAnsi="Times New Roman" w:cs="Times New Roman"/>
        </w:rPr>
        <w:t>}) o jedną jednostkę (tj. o 100 punktów procentowych udziału zasobów) jest związany z przybliżonym wzrostem poziomu indeksu RT o 14,5%. Wzrost udziału zasobów o 1 punkt procentowy ((\Delta NR = 0{,}01)) odpowiada zatem jedynie około 0,145% wzrostowi RT, a nie wzrostowi indeksu o 0,145 „punktu procentowego” jako takiego.</w:t>
      </w:r>
    </w:p>
    <w:p w:rsidR="00E329CF" w:rsidRPr="00267F8C" w:rsidRDefault="00E329CF"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Ponieważ RT jest indeksem bezwymiarowym (o średniej około 2,9), zmiany w jego wartości najlepiej opisywać w kategoriach zmian procentowych albo zmian w jednostkach absolutnych (np. przy średnim poziomie próby), a nie w punktach procentowych. Przeformułowanie tego fragmentu tak, aby odzwierciedlał interpretację logarytmiczno-poziomową — czy to jako procentową zmianę RT, czy jako implikowaną zmianę absolutną przy określonym poziomie referencyjnym RT — pozwoliłoby dostosować omówienie słowne do specyfikacji ekonometrycznej i uniknąć zawyżania rozmiaru oszacowanego efektu.</w:t>
      </w:r>
    </w:p>
    <w:p w:rsidR="00FC3CE8" w:rsidRPr="00267F8C" w:rsidRDefault="00FC3CE8"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E329CF" w:rsidRDefault="00BF038D" w:rsidP="00BF038D">
      <w:pPr>
        <w:rPr>
          <w:rFonts w:ascii="Times New Roman" w:hAnsi="Times New Roman" w:cs="Times New Roman"/>
          <w:b/>
        </w:rPr>
      </w:pPr>
      <w:r w:rsidRPr="00E329CF">
        <w:rPr>
          <w:rFonts w:ascii="Times New Roman" w:hAnsi="Times New Roman" w:cs="Times New Roman"/>
          <w:b/>
        </w:rPr>
        <w:t>44. Niewyjaśnione pominięcie jednej zmiennej zależnej</w:t>
      </w:r>
    </w:p>
    <w:p w:rsidR="00BF038D" w:rsidRDefault="00BF038D" w:rsidP="00BF038D">
      <w:pPr>
        <w:rPr>
          <w:rFonts w:ascii="Times New Roman" w:hAnsi="Times New Roman" w:cs="Times New Roman"/>
        </w:rPr>
      </w:pPr>
      <w:r w:rsidRPr="00E329CF">
        <w:rPr>
          <w:rFonts w:ascii="Times New Roman" w:hAnsi="Times New Roman" w:cs="Times New Roman"/>
          <w:b/>
        </w:rPr>
        <w:t>Cytat:</w:t>
      </w:r>
      <w:r w:rsidRPr="00267F8C">
        <w:rPr>
          <w:rFonts w:ascii="Times New Roman" w:hAnsi="Times New Roman" w:cs="Times New Roman"/>
        </w:rPr>
        <w:t xml:space="preserve"> &gt; Ze względu na charakterystykę zmiennej (INNOV_{</w:t>
      </w:r>
      <w:proofErr w:type="spellStart"/>
      <w:r w:rsidRPr="00267F8C">
        <w:rPr>
          <w:rFonts w:ascii="Times New Roman" w:hAnsi="Times New Roman" w:cs="Times New Roman"/>
        </w:rPr>
        <w:t>ct</w:t>
      </w:r>
      <w:proofErr w:type="spellEnd"/>
      <w:r w:rsidRPr="00267F8C">
        <w:rPr>
          <w:rFonts w:ascii="Times New Roman" w:hAnsi="Times New Roman" w:cs="Times New Roman"/>
        </w:rPr>
        <w:t>}) oszacowania dla modelu (12) obejmują jedynie dwie zmienne zależne, mianowicie dywersyfikację eksportu ogółem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RT_{</w:t>
      </w:r>
      <w:proofErr w:type="spellStart"/>
      <w:r w:rsidRPr="00267F8C">
        <w:rPr>
          <w:rFonts w:ascii="Times New Roman" w:hAnsi="Times New Roman" w:cs="Times New Roman"/>
        </w:rPr>
        <w:t>ct</w:t>
      </w:r>
      <w:proofErr w:type="spellEnd"/>
      <w:r w:rsidRPr="00267F8C">
        <w:rPr>
          <w:rFonts w:ascii="Times New Roman" w:hAnsi="Times New Roman" w:cs="Times New Roman"/>
        </w:rPr>
        <w:t>})) oraz dywersyfikację eksportu niezwiązanego z zasobami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RT_{</w:t>
      </w:r>
      <w:proofErr w:type="spellStart"/>
      <w:r w:rsidRPr="00267F8C">
        <w:rPr>
          <w:rFonts w:ascii="Times New Roman" w:hAnsi="Times New Roman" w:cs="Times New Roman"/>
        </w:rPr>
        <w:t>c,nonNR_t</w:t>
      </w:r>
      <w:proofErr w:type="spellEnd"/>
      <w:r w:rsidRPr="00267F8C">
        <w:rPr>
          <w:rFonts w:ascii="Times New Roman" w:hAnsi="Times New Roman" w:cs="Times New Roman"/>
        </w:rPr>
        <w:t>}).</w:t>
      </w:r>
    </w:p>
    <w:p w:rsidR="00E329CF" w:rsidRPr="00267F8C" w:rsidRDefault="00E329CF" w:rsidP="00BF038D">
      <w:pPr>
        <w:rPr>
          <w:rFonts w:ascii="Times New Roman" w:hAnsi="Times New Roman" w:cs="Times New Roman"/>
        </w:rPr>
      </w:pPr>
    </w:p>
    <w:p w:rsidR="00BF038D" w:rsidRPr="00267F8C" w:rsidRDefault="00BF038D" w:rsidP="00BF038D">
      <w:pPr>
        <w:rPr>
          <w:rFonts w:ascii="Times New Roman" w:hAnsi="Times New Roman" w:cs="Times New Roman"/>
        </w:rPr>
      </w:pPr>
      <w:r w:rsidRPr="00E329CF">
        <w:rPr>
          <w:rFonts w:ascii="Times New Roman" w:hAnsi="Times New Roman" w:cs="Times New Roman"/>
          <w:b/>
        </w:rPr>
        <w:t>Uwagi:</w:t>
      </w:r>
      <w:r w:rsidRPr="00267F8C">
        <w:rPr>
          <w:rFonts w:ascii="Times New Roman" w:hAnsi="Times New Roman" w:cs="Times New Roman"/>
        </w:rPr>
        <w:t xml:space="preserve"> Tekst stwierdza, że „ze względu na charakterystykę zmiennej (INNOV_{</w:t>
      </w:r>
      <w:proofErr w:type="spellStart"/>
      <w:r w:rsidRPr="00267F8C">
        <w:rPr>
          <w:rFonts w:ascii="Times New Roman" w:hAnsi="Times New Roman" w:cs="Times New Roman"/>
        </w:rPr>
        <w:t>ct</w:t>
      </w:r>
      <w:proofErr w:type="spellEnd"/>
      <w:r w:rsidRPr="00267F8C">
        <w:rPr>
          <w:rFonts w:ascii="Times New Roman" w:hAnsi="Times New Roman" w:cs="Times New Roman"/>
        </w:rPr>
        <w:t xml:space="preserve">})” oszacowania dla modelu (12) raportowane są wyłącznie dla ogólnej dywersyfikacji eksportu oraz dla eksportu niezwiązanego z zasobami, pomijając dywersyfikację eksportu </w:t>
      </w:r>
      <w:r w:rsidRPr="00267F8C">
        <w:rPr>
          <w:rFonts w:ascii="Times New Roman" w:hAnsi="Times New Roman" w:cs="Times New Roman"/>
        </w:rPr>
        <w:lastRenderedPageBreak/>
        <w:t>technologicznego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RT_{</w:t>
      </w:r>
      <w:proofErr w:type="spellStart"/>
      <w:r w:rsidRPr="00267F8C">
        <w:rPr>
          <w:rFonts w:ascii="Times New Roman" w:hAnsi="Times New Roman" w:cs="Times New Roman"/>
        </w:rPr>
        <w:t>c,TECH_t</w:t>
      </w:r>
      <w:proofErr w:type="spellEnd"/>
      <w:r w:rsidRPr="00267F8C">
        <w:rPr>
          <w:rFonts w:ascii="Times New Roman" w:hAnsi="Times New Roman" w:cs="Times New Roman"/>
        </w:rPr>
        <w:t>})), która pojawia się w innych częściach rozdziału. Ponieważ (INNOV_{</w:t>
      </w:r>
      <w:proofErr w:type="spellStart"/>
      <w:r w:rsidRPr="00267F8C">
        <w:rPr>
          <w:rFonts w:ascii="Times New Roman" w:hAnsi="Times New Roman" w:cs="Times New Roman"/>
        </w:rPr>
        <w:t>ct</w:t>
      </w:r>
      <w:proofErr w:type="spellEnd"/>
      <w:r w:rsidRPr="00267F8C">
        <w:rPr>
          <w:rFonts w:ascii="Times New Roman" w:hAnsi="Times New Roman" w:cs="Times New Roman"/>
        </w:rPr>
        <w:t>}) jest częściowo aproksymowana udziałem produktów zaawansowanych technologicznie w eksporcie ogółem, to wyłączenie prawdopodobnie odzwierciedla nietrywialny problem identyfikacyjny. Pomocne byłoby dodanie krótkiego wyjaśnienia w tekście głównym, poza ewentualnym przypisem, jakie konkretne „charakterystyki” zmiennej (INNOV_{</w:t>
      </w:r>
      <w:proofErr w:type="spellStart"/>
      <w:r w:rsidRPr="00267F8C">
        <w:rPr>
          <w:rFonts w:ascii="Times New Roman" w:hAnsi="Times New Roman" w:cs="Times New Roman"/>
        </w:rPr>
        <w:t>ct</w:t>
      </w:r>
      <w:proofErr w:type="spellEnd"/>
      <w:r w:rsidRPr="00267F8C">
        <w:rPr>
          <w:rFonts w:ascii="Times New Roman" w:hAnsi="Times New Roman" w:cs="Times New Roman"/>
        </w:rPr>
        <w:t>}) czynią problematycznym wykorzystanie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RT_{</w:t>
      </w:r>
      <w:proofErr w:type="spellStart"/>
      <w:r w:rsidRPr="00267F8C">
        <w:rPr>
          <w:rFonts w:ascii="Times New Roman" w:hAnsi="Times New Roman" w:cs="Times New Roman"/>
        </w:rPr>
        <w:t>c,TECH_t</w:t>
      </w:r>
      <w:proofErr w:type="spellEnd"/>
      <w:r w:rsidRPr="00267F8C">
        <w:rPr>
          <w:rFonts w:ascii="Times New Roman" w:hAnsi="Times New Roman" w:cs="Times New Roman"/>
        </w:rPr>
        <w:t>}) jako zmiennej zależnej w tej specyfikacji, tak aby czytelnicy mogli jasno zrozumieć zakres i uzasadnienie raportowanych wyników.</w:t>
      </w:r>
    </w:p>
    <w:p w:rsidR="00BF038D" w:rsidRDefault="00BF038D" w:rsidP="00BF038D">
      <w:pPr>
        <w:rPr>
          <w:rFonts w:ascii="Times New Roman" w:hAnsi="Times New Roman" w:cs="Times New Roman"/>
        </w:rPr>
      </w:pPr>
    </w:p>
    <w:p w:rsidR="00FC3CE8" w:rsidRPr="00267F8C" w:rsidRDefault="00FC3CE8" w:rsidP="00BF038D">
      <w:pPr>
        <w:rPr>
          <w:rFonts w:ascii="Times New Roman" w:hAnsi="Times New Roman" w:cs="Times New Roman"/>
        </w:rPr>
      </w:pPr>
      <w:r>
        <w:rPr>
          <w:rFonts w:ascii="Times New Roman" w:hAnsi="Times New Roman" w:cs="Times New Roman"/>
        </w:rPr>
        <w:t>---</w:t>
      </w:r>
    </w:p>
    <w:p w:rsidR="00BF038D" w:rsidRPr="00E329CF" w:rsidRDefault="00BF038D" w:rsidP="00BF038D">
      <w:pPr>
        <w:rPr>
          <w:rFonts w:ascii="Times New Roman" w:hAnsi="Times New Roman" w:cs="Times New Roman"/>
          <w:b/>
        </w:rPr>
      </w:pPr>
      <w:r w:rsidRPr="00E329CF">
        <w:rPr>
          <w:rFonts w:ascii="Times New Roman" w:hAnsi="Times New Roman" w:cs="Times New Roman"/>
          <w:b/>
        </w:rPr>
        <w:t>45. Sprzeczne wyniki w testach odporności</w:t>
      </w:r>
    </w:p>
    <w:p w:rsidR="00BF038D" w:rsidRDefault="00BF038D" w:rsidP="00BF038D">
      <w:pPr>
        <w:rPr>
          <w:rFonts w:ascii="Times New Roman" w:hAnsi="Times New Roman" w:cs="Times New Roman"/>
        </w:rPr>
      </w:pPr>
      <w:r w:rsidRPr="00875F70">
        <w:rPr>
          <w:rFonts w:ascii="Times New Roman" w:hAnsi="Times New Roman" w:cs="Times New Roman"/>
          <w:b/>
        </w:rPr>
        <w:t>Cytat:</w:t>
      </w:r>
      <w:r w:rsidRPr="00267F8C">
        <w:rPr>
          <w:rFonts w:ascii="Times New Roman" w:hAnsi="Times New Roman" w:cs="Times New Roman"/>
        </w:rPr>
        <w:t xml:space="preserve"> &gt; Dla eksporterów NR wzrost udziału eksportu zasobów naturalnych o 1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prowadzi do spadku wartości ogólnego indeksu RT o 0,272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(równanie (1) w </w:t>
      </w:r>
      <w:r w:rsidR="00FC3CE8">
        <w:rPr>
          <w:rFonts w:ascii="Times New Roman" w:hAnsi="Times New Roman" w:cs="Times New Roman"/>
        </w:rPr>
        <w:t>T</w:t>
      </w:r>
      <w:r w:rsidRPr="00267F8C">
        <w:rPr>
          <w:rFonts w:ascii="Times New Roman" w:hAnsi="Times New Roman" w:cs="Times New Roman"/>
        </w:rPr>
        <w:t>abeli B.27 w Załączniku B). Wynik ten sugeruje, że wzmacnianie zależności od zasobów naturalnych w krajach, które są już od nich silnie zależne, sprzyja dywersyfikacji eksportu ogółem.</w:t>
      </w:r>
    </w:p>
    <w:p w:rsidR="00FC3CE8" w:rsidRPr="00267F8C" w:rsidRDefault="00FC3CE8" w:rsidP="00BF038D">
      <w:pPr>
        <w:rPr>
          <w:rFonts w:ascii="Times New Roman" w:hAnsi="Times New Roman" w:cs="Times New Roman"/>
        </w:rPr>
      </w:pPr>
    </w:p>
    <w:p w:rsidR="00BF038D" w:rsidRDefault="00BF038D" w:rsidP="00BF038D">
      <w:pPr>
        <w:rPr>
          <w:rFonts w:ascii="Times New Roman" w:hAnsi="Times New Roman" w:cs="Times New Roman"/>
        </w:rPr>
      </w:pPr>
      <w:r w:rsidRPr="00FC3CE8">
        <w:rPr>
          <w:rFonts w:ascii="Times New Roman" w:hAnsi="Times New Roman" w:cs="Times New Roman"/>
          <w:b/>
        </w:rPr>
        <w:t>Uwagi:</w:t>
      </w:r>
      <w:r w:rsidRPr="00267F8C">
        <w:rPr>
          <w:rFonts w:ascii="Times New Roman" w:hAnsi="Times New Roman" w:cs="Times New Roman"/>
        </w:rPr>
        <w:t xml:space="preserve"> Testy odporności dla modelu (10) wskazują, że w </w:t>
      </w:r>
      <w:proofErr w:type="spellStart"/>
      <w:r w:rsidRPr="00267F8C">
        <w:rPr>
          <w:rFonts w:ascii="Times New Roman" w:hAnsi="Times New Roman" w:cs="Times New Roman"/>
        </w:rPr>
        <w:t>podpróbie</w:t>
      </w:r>
      <w:proofErr w:type="spellEnd"/>
      <w:r w:rsidRPr="00267F8C">
        <w:rPr>
          <w:rFonts w:ascii="Times New Roman" w:hAnsi="Times New Roman" w:cs="Times New Roman"/>
        </w:rPr>
        <w:t xml:space="preserve"> eksporterów NR wzrost udziału eksportu zasobów naturalnych o 1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jest związany ze spadkiem ogólnego indeksu RT o 0,272 </w:t>
      </w:r>
      <w:proofErr w:type="spellStart"/>
      <w:r w:rsidRPr="00267F8C">
        <w:rPr>
          <w:rFonts w:ascii="Times New Roman" w:hAnsi="Times New Roman" w:cs="Times New Roman"/>
        </w:rPr>
        <w:t>p.p</w:t>
      </w:r>
      <w:proofErr w:type="spellEnd"/>
      <w:r w:rsidRPr="00267F8C">
        <w:rPr>
          <w:rFonts w:ascii="Times New Roman" w:hAnsi="Times New Roman" w:cs="Times New Roman"/>
        </w:rPr>
        <w:t xml:space="preserve">., a zależność między RT a TOTAL NR jest również ujemna, choć granicznie istotna, dla krajów rozwijających się. Znaki te różnią się od dodatniego współczynnika dla całej próby w </w:t>
      </w:r>
      <w:r w:rsidR="00FC3CE8">
        <w:rPr>
          <w:rFonts w:ascii="Times New Roman" w:hAnsi="Times New Roman" w:cs="Times New Roman"/>
        </w:rPr>
        <w:t>T</w:t>
      </w:r>
      <w:r w:rsidRPr="00267F8C">
        <w:rPr>
          <w:rFonts w:ascii="Times New Roman" w:hAnsi="Times New Roman" w:cs="Times New Roman"/>
        </w:rPr>
        <w:t xml:space="preserve">abeli 5.2, jednak obecnie są podsumowane jedynie w jednym lub dwóch zdaniach i od razu interpretowane jako sprzyjające dywersyfikacji. Biorąc pod uwagę centralne znaczenie eksporterów NR dla całej rozprawy, warto byłoby rozwinąć omówienie, aby wyjaśnić, w jaki sposób wyniki dla </w:t>
      </w:r>
      <w:proofErr w:type="spellStart"/>
      <w:r w:rsidRPr="00267F8C">
        <w:rPr>
          <w:rFonts w:ascii="Times New Roman" w:hAnsi="Times New Roman" w:cs="Times New Roman"/>
        </w:rPr>
        <w:t>podprób</w:t>
      </w:r>
      <w:proofErr w:type="spellEnd"/>
      <w:r w:rsidRPr="00267F8C">
        <w:rPr>
          <w:rFonts w:ascii="Times New Roman" w:hAnsi="Times New Roman" w:cs="Times New Roman"/>
        </w:rPr>
        <w:t xml:space="preserve"> odnoszą się do wyniku bazowego, na przykład czy sugerują nieliniowość, efekty progowe przy bardzo wysokich udziałach NR bądź inne formy heterogeniczności, zamiast przedstawiać je wyłącznie jako proste testy odporności.</w:t>
      </w:r>
    </w:p>
    <w:p w:rsidR="00FC3CE8" w:rsidRPr="00267F8C" w:rsidRDefault="00FC3CE8"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FC3CE8" w:rsidRDefault="00BF038D" w:rsidP="00BF038D">
      <w:pPr>
        <w:rPr>
          <w:rFonts w:ascii="Times New Roman" w:hAnsi="Times New Roman" w:cs="Times New Roman"/>
          <w:b/>
        </w:rPr>
      </w:pPr>
      <w:r w:rsidRPr="00FC3CE8">
        <w:rPr>
          <w:rFonts w:ascii="Times New Roman" w:hAnsi="Times New Roman" w:cs="Times New Roman"/>
          <w:b/>
        </w:rPr>
        <w:t xml:space="preserve">46. Niewyjaśniona zmiana znaku głównej zmiennej objaśniającej w </w:t>
      </w:r>
      <w:r w:rsidR="00FC3CE8">
        <w:rPr>
          <w:rFonts w:ascii="Times New Roman" w:hAnsi="Times New Roman" w:cs="Times New Roman"/>
          <w:b/>
        </w:rPr>
        <w:t>T</w:t>
      </w:r>
      <w:r w:rsidRPr="00FC3CE8">
        <w:rPr>
          <w:rFonts w:ascii="Times New Roman" w:hAnsi="Times New Roman" w:cs="Times New Roman"/>
          <w:b/>
        </w:rPr>
        <w:t>abeli 5.6</w:t>
      </w:r>
    </w:p>
    <w:p w:rsidR="00BF038D" w:rsidRDefault="00BF038D" w:rsidP="00BF038D">
      <w:pPr>
        <w:rPr>
          <w:rFonts w:ascii="Times New Roman" w:hAnsi="Times New Roman" w:cs="Times New Roman"/>
        </w:rPr>
      </w:pPr>
      <w:r w:rsidRPr="00FC3CE8">
        <w:rPr>
          <w:rFonts w:ascii="Times New Roman" w:hAnsi="Times New Roman" w:cs="Times New Roman"/>
          <w:b/>
        </w:rPr>
        <w:t>Uwagi:</w:t>
      </w:r>
      <w:r w:rsidRPr="00267F8C">
        <w:rPr>
          <w:rFonts w:ascii="Times New Roman" w:hAnsi="Times New Roman" w:cs="Times New Roman"/>
        </w:rPr>
        <w:t xml:space="preserve"> Współczynnik przy (NR_{</w:t>
      </w:r>
      <w:proofErr w:type="spellStart"/>
      <w:r w:rsidRPr="00267F8C">
        <w:rPr>
          <w:rFonts w:ascii="Times New Roman" w:hAnsi="Times New Roman" w:cs="Times New Roman"/>
        </w:rPr>
        <w:t>ct</w:t>
      </w:r>
      <w:proofErr w:type="spellEnd"/>
      <w:r w:rsidRPr="00267F8C">
        <w:rPr>
          <w:rFonts w:ascii="Times New Roman" w:hAnsi="Times New Roman" w:cs="Times New Roman"/>
        </w:rPr>
        <w:t xml:space="preserve">}) w </w:t>
      </w:r>
      <w:r w:rsidR="00FC3CE8">
        <w:rPr>
          <w:rFonts w:ascii="Times New Roman" w:hAnsi="Times New Roman" w:cs="Times New Roman"/>
        </w:rPr>
        <w:t>T</w:t>
      </w:r>
      <w:r w:rsidRPr="00267F8C">
        <w:rPr>
          <w:rFonts w:ascii="Times New Roman" w:hAnsi="Times New Roman" w:cs="Times New Roman"/>
        </w:rPr>
        <w:t>abeli 5.6, panel A, kolumna (3), jest ujemny i wysoce istotny, podczas gdy w bazowej regresji dywersyfikacji (</w:t>
      </w:r>
      <w:r w:rsidR="00FC3CE8">
        <w:rPr>
          <w:rFonts w:ascii="Times New Roman" w:hAnsi="Times New Roman" w:cs="Times New Roman"/>
        </w:rPr>
        <w:t>T</w:t>
      </w:r>
      <w:r w:rsidRPr="00267F8C">
        <w:rPr>
          <w:rFonts w:ascii="Times New Roman" w:hAnsi="Times New Roman" w:cs="Times New Roman"/>
        </w:rPr>
        <w:t xml:space="preserve">abela 5.2) oraz w kolumnach (1)–(2) </w:t>
      </w:r>
      <w:r w:rsidR="00FC3CE8">
        <w:rPr>
          <w:rFonts w:ascii="Times New Roman" w:hAnsi="Times New Roman" w:cs="Times New Roman"/>
        </w:rPr>
        <w:t>T</w:t>
      </w:r>
      <w:r w:rsidRPr="00267F8C">
        <w:rPr>
          <w:rFonts w:ascii="Times New Roman" w:hAnsi="Times New Roman" w:cs="Times New Roman"/>
        </w:rPr>
        <w:t>abeli 5.6 ma znak dodatni. Ta zmiana znaku nie została omówiona w tekście, mimo że (NR_{</w:t>
      </w:r>
      <w:proofErr w:type="spellStart"/>
      <w:r w:rsidRPr="00267F8C">
        <w:rPr>
          <w:rFonts w:ascii="Times New Roman" w:hAnsi="Times New Roman" w:cs="Times New Roman"/>
        </w:rPr>
        <w:t>ct</w:t>
      </w:r>
      <w:proofErr w:type="spellEnd"/>
      <w:r w:rsidRPr="00267F8C">
        <w:rPr>
          <w:rFonts w:ascii="Times New Roman" w:hAnsi="Times New Roman" w:cs="Times New Roman"/>
        </w:rPr>
        <w:t>}) jest główną zmienną objaśniającą tego rozdziału.</w:t>
      </w:r>
    </w:p>
    <w:p w:rsidR="00FC3CE8" w:rsidRPr="00267F8C" w:rsidRDefault="00FC3CE8"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Ponieważ równanie (12) obejmuje interakcję ((NR \</w:t>
      </w:r>
      <w:proofErr w:type="spellStart"/>
      <w:r w:rsidRPr="00267F8C">
        <w:rPr>
          <w:rFonts w:ascii="Times New Roman" w:hAnsi="Times New Roman" w:cs="Times New Roman"/>
        </w:rPr>
        <w:t>times</w:t>
      </w:r>
      <w:proofErr w:type="spellEnd"/>
      <w:r w:rsidRPr="00267F8C">
        <w:rPr>
          <w:rFonts w:ascii="Times New Roman" w:hAnsi="Times New Roman" w:cs="Times New Roman"/>
        </w:rPr>
        <w:t xml:space="preserve"> INNOV)*{</w:t>
      </w:r>
      <w:proofErr w:type="spellStart"/>
      <w:r w:rsidRPr="00267F8C">
        <w:rPr>
          <w:rFonts w:ascii="Times New Roman" w:hAnsi="Times New Roman" w:cs="Times New Roman"/>
        </w:rPr>
        <w:t>ct</w:t>
      </w:r>
      <w:proofErr w:type="spellEnd"/>
      <w:r w:rsidRPr="00267F8C">
        <w:rPr>
          <w:rFonts w:ascii="Times New Roman" w:hAnsi="Times New Roman" w:cs="Times New Roman"/>
        </w:rPr>
        <w:t>}), współczynnika przy (NR</w:t>
      </w:r>
      <w:r w:rsidR="00FC3CE8">
        <w:rPr>
          <w:rFonts w:ascii="Times New Roman" w:hAnsi="Times New Roman" w:cs="Times New Roman"/>
        </w:rPr>
        <w:t>_</w:t>
      </w:r>
      <w:r w:rsidRPr="00267F8C">
        <w:rPr>
          <w:rFonts w:ascii="Times New Roman" w:hAnsi="Times New Roman" w:cs="Times New Roman"/>
        </w:rPr>
        <w:t>{</w:t>
      </w:r>
      <w:proofErr w:type="spellStart"/>
      <w:r w:rsidRPr="00267F8C">
        <w:rPr>
          <w:rFonts w:ascii="Times New Roman" w:hAnsi="Times New Roman" w:cs="Times New Roman"/>
        </w:rPr>
        <w:t>ct</w:t>
      </w:r>
      <w:proofErr w:type="spellEnd"/>
      <w:r w:rsidRPr="00267F8C">
        <w:rPr>
          <w:rFonts w:ascii="Times New Roman" w:hAnsi="Times New Roman" w:cs="Times New Roman"/>
        </w:rPr>
        <w:t>}) nie można odczytywać jako bezwarunkowego efektu zależności od zasobów; jest to efekt cząstkowy dla przypadku, gdy (INNOV_{</w:t>
      </w:r>
      <w:proofErr w:type="spellStart"/>
      <w:r w:rsidRPr="00267F8C">
        <w:rPr>
          <w:rFonts w:ascii="Times New Roman" w:hAnsi="Times New Roman" w:cs="Times New Roman"/>
        </w:rPr>
        <w:t>ct</w:t>
      </w:r>
      <w:proofErr w:type="spellEnd"/>
      <w:r w:rsidRPr="00267F8C">
        <w:rPr>
          <w:rFonts w:ascii="Times New Roman" w:hAnsi="Times New Roman" w:cs="Times New Roman"/>
        </w:rPr>
        <w:t xml:space="preserve">}=0). W specyfikacji TECH odpowiada to ekstrapolowanemu przypadkowi brzegowemu: </w:t>
      </w:r>
      <w:r w:rsidR="00FC3CE8">
        <w:rPr>
          <w:rFonts w:ascii="Times New Roman" w:hAnsi="Times New Roman" w:cs="Times New Roman"/>
        </w:rPr>
        <w:t>T</w:t>
      </w:r>
      <w:r w:rsidRPr="00267F8C">
        <w:rPr>
          <w:rFonts w:ascii="Times New Roman" w:hAnsi="Times New Roman" w:cs="Times New Roman"/>
        </w:rPr>
        <w:t>abela A.7 wskazuje, że udział TECH jest dodatni we wszystkich obserwacjach kraj–rok, a więc (TECH=0) leży tuż poza obserwowanym zakresem danych. Ekonomicznie istotny efekt zasobów w ramach tego modelu ma postać (\</w:t>
      </w:r>
      <w:proofErr w:type="spellStart"/>
      <w:r w:rsidRPr="00267F8C">
        <w:rPr>
          <w:rFonts w:ascii="Times New Roman" w:hAnsi="Times New Roman" w:cs="Times New Roman"/>
        </w:rPr>
        <w:t>partial</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RT / \</w:t>
      </w:r>
      <w:proofErr w:type="spellStart"/>
      <w:r w:rsidRPr="00267F8C">
        <w:rPr>
          <w:rFonts w:ascii="Times New Roman" w:hAnsi="Times New Roman" w:cs="Times New Roman"/>
        </w:rPr>
        <w:t>partial</w:t>
      </w:r>
      <w:proofErr w:type="spellEnd"/>
      <w:r w:rsidRPr="00267F8C">
        <w:rPr>
          <w:rFonts w:ascii="Times New Roman" w:hAnsi="Times New Roman" w:cs="Times New Roman"/>
        </w:rPr>
        <w:t xml:space="preserve"> NR = \beta_1 + \beta_3 INNOV_{</w:t>
      </w:r>
      <w:proofErr w:type="spellStart"/>
      <w:r w:rsidRPr="00267F8C">
        <w:rPr>
          <w:rFonts w:ascii="Times New Roman" w:hAnsi="Times New Roman" w:cs="Times New Roman"/>
        </w:rPr>
        <w:t>ct</w:t>
      </w:r>
      <w:proofErr w:type="spellEnd"/>
      <w:r w:rsidRPr="00267F8C">
        <w:rPr>
          <w:rFonts w:ascii="Times New Roman" w:hAnsi="Times New Roman" w:cs="Times New Roman"/>
        </w:rPr>
        <w:t>}</w:t>
      </w:r>
      <w:r w:rsidR="00FC3CE8">
        <w:rPr>
          <w:rFonts w:ascii="Times New Roman" w:hAnsi="Times New Roman" w:cs="Times New Roman"/>
        </w:rPr>
        <w:t>$</w:t>
      </w:r>
      <w:r w:rsidRPr="00267F8C">
        <w:rPr>
          <w:rFonts w:ascii="Times New Roman" w:hAnsi="Times New Roman" w:cs="Times New Roman"/>
        </w:rPr>
        <w:t>), czyli łączy współczynnik główny i współczynnik interakcyjny.</w:t>
      </w:r>
    </w:p>
    <w:p w:rsidR="00FC3CE8" w:rsidRPr="00267F8C" w:rsidRDefault="00FC3CE8"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 xml:space="preserve">Na pierwszy rzut oka jednak czytelnik porównujący </w:t>
      </w:r>
      <w:r w:rsidR="00FC3CE8">
        <w:rPr>
          <w:rFonts w:ascii="Times New Roman" w:hAnsi="Times New Roman" w:cs="Times New Roman"/>
        </w:rPr>
        <w:t>T</w:t>
      </w:r>
      <w:r w:rsidRPr="00267F8C">
        <w:rPr>
          <w:rFonts w:ascii="Times New Roman" w:hAnsi="Times New Roman" w:cs="Times New Roman"/>
        </w:rPr>
        <w:t>abele 5.2 i 5.6 zauważy odwrócenie znaku współczynnika (NR_{</w:t>
      </w:r>
      <w:proofErr w:type="spellStart"/>
      <w:r w:rsidRPr="00267F8C">
        <w:rPr>
          <w:rFonts w:ascii="Times New Roman" w:hAnsi="Times New Roman" w:cs="Times New Roman"/>
        </w:rPr>
        <w:t>ct</w:t>
      </w:r>
      <w:proofErr w:type="spellEnd"/>
      <w:r w:rsidRPr="00267F8C">
        <w:rPr>
          <w:rFonts w:ascii="Times New Roman" w:hAnsi="Times New Roman" w:cs="Times New Roman"/>
        </w:rPr>
        <w:t xml:space="preserve">}) w kolumnie (3) i może nie być pewien, czy odzwierciedla </w:t>
      </w:r>
      <w:r w:rsidR="00FC3CE8">
        <w:rPr>
          <w:rFonts w:ascii="Times New Roman" w:hAnsi="Times New Roman" w:cs="Times New Roman"/>
        </w:rPr>
        <w:t>to</w:t>
      </w:r>
      <w:r w:rsidRPr="00267F8C">
        <w:rPr>
          <w:rFonts w:ascii="Times New Roman" w:hAnsi="Times New Roman" w:cs="Times New Roman"/>
        </w:rPr>
        <w:t xml:space="preserve"> rzeczywistą zmianę zależności warunkowej po uwzględnieniu TECH, czy raczej jest skutkiem silnej współliniowości między (NR_{</w:t>
      </w:r>
      <w:proofErr w:type="spellStart"/>
      <w:r w:rsidRPr="00267F8C">
        <w:rPr>
          <w:rFonts w:ascii="Times New Roman" w:hAnsi="Times New Roman" w:cs="Times New Roman"/>
        </w:rPr>
        <w:t>ct</w:t>
      </w:r>
      <w:proofErr w:type="spellEnd"/>
      <w:r w:rsidRPr="00267F8C">
        <w:rPr>
          <w:rFonts w:ascii="Times New Roman" w:hAnsi="Times New Roman" w:cs="Times New Roman"/>
        </w:rPr>
        <w:t>}), (TECH_{</w:t>
      </w:r>
      <w:proofErr w:type="spellStart"/>
      <w:r w:rsidRPr="00267F8C">
        <w:rPr>
          <w:rFonts w:ascii="Times New Roman" w:hAnsi="Times New Roman" w:cs="Times New Roman"/>
        </w:rPr>
        <w:t>ct</w:t>
      </w:r>
      <w:proofErr w:type="spellEnd"/>
      <w:r w:rsidRPr="00267F8C">
        <w:rPr>
          <w:rFonts w:ascii="Times New Roman" w:hAnsi="Times New Roman" w:cs="Times New Roman"/>
        </w:rPr>
        <w:t>}) i ich iloczynem; raportowana korelacja między ScRC1 i ScTC3 wynosi około −0,48. Pomocne byłoby dodanie krótkiego wyjaśnienia, jak należy interpretować (NR_{</w:t>
      </w:r>
      <w:proofErr w:type="spellStart"/>
      <w:r w:rsidRPr="00267F8C">
        <w:rPr>
          <w:rFonts w:ascii="Times New Roman" w:hAnsi="Times New Roman" w:cs="Times New Roman"/>
        </w:rPr>
        <w:t>ct</w:t>
      </w:r>
      <w:proofErr w:type="spellEnd"/>
      <w:r w:rsidRPr="00267F8C">
        <w:rPr>
          <w:rFonts w:ascii="Times New Roman" w:hAnsi="Times New Roman" w:cs="Times New Roman"/>
        </w:rPr>
        <w:t xml:space="preserve">}) w specyfikacji z interakcją, </w:t>
      </w:r>
      <w:r w:rsidRPr="00267F8C">
        <w:rPr>
          <w:rFonts w:ascii="Times New Roman" w:hAnsi="Times New Roman" w:cs="Times New Roman"/>
        </w:rPr>
        <w:lastRenderedPageBreak/>
        <w:t>wyraźne wskazanie, że współczynnik odnosi się do wartości (TECH_{</w:t>
      </w:r>
      <w:proofErr w:type="spellStart"/>
      <w:r w:rsidRPr="00267F8C">
        <w:rPr>
          <w:rFonts w:ascii="Times New Roman" w:hAnsi="Times New Roman" w:cs="Times New Roman"/>
        </w:rPr>
        <w:t>ct</w:t>
      </w:r>
      <w:proofErr w:type="spellEnd"/>
      <w:r w:rsidRPr="00267F8C">
        <w:rPr>
          <w:rFonts w:ascii="Times New Roman" w:hAnsi="Times New Roman" w:cs="Times New Roman"/>
        </w:rPr>
        <w:t>}) spoza próby, oraz doprecyzowanie, czy — i w jakim zakresie wartości (TECH_{</w:t>
      </w:r>
      <w:proofErr w:type="spellStart"/>
      <w:r w:rsidRPr="00267F8C">
        <w:rPr>
          <w:rFonts w:ascii="Times New Roman" w:hAnsi="Times New Roman" w:cs="Times New Roman"/>
        </w:rPr>
        <w:t>ct</w:t>
      </w:r>
      <w:proofErr w:type="spellEnd"/>
      <w:r w:rsidRPr="00267F8C">
        <w:rPr>
          <w:rFonts w:ascii="Times New Roman" w:hAnsi="Times New Roman" w:cs="Times New Roman"/>
        </w:rPr>
        <w:t>}) — zależność od zasobów nadal wiąże się z większą specjalizacją eksportu w ramach równania (12).</w:t>
      </w:r>
    </w:p>
    <w:p w:rsidR="00595BE7" w:rsidRPr="00267F8C" w:rsidRDefault="00595BE7"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595BE7" w:rsidRDefault="00BF038D" w:rsidP="00BF038D">
      <w:pPr>
        <w:rPr>
          <w:rFonts w:ascii="Times New Roman" w:hAnsi="Times New Roman" w:cs="Times New Roman"/>
          <w:b/>
        </w:rPr>
      </w:pPr>
      <w:r w:rsidRPr="00595BE7">
        <w:rPr>
          <w:rFonts w:ascii="Times New Roman" w:hAnsi="Times New Roman" w:cs="Times New Roman"/>
          <w:b/>
        </w:rPr>
        <w:t>47. Potencjalnie nieprecyzyjne przedstawienie wyników dotyczących roli technologii we wzroście</w:t>
      </w:r>
    </w:p>
    <w:p w:rsidR="00BF038D" w:rsidRDefault="00BF038D" w:rsidP="00BF038D">
      <w:pPr>
        <w:rPr>
          <w:rFonts w:ascii="Times New Roman" w:hAnsi="Times New Roman" w:cs="Times New Roman"/>
        </w:rPr>
      </w:pPr>
      <w:r w:rsidRPr="00595BE7">
        <w:rPr>
          <w:rFonts w:ascii="Times New Roman" w:hAnsi="Times New Roman" w:cs="Times New Roman"/>
          <w:b/>
        </w:rPr>
        <w:t>Cytat:</w:t>
      </w:r>
      <w:r w:rsidRPr="00267F8C">
        <w:rPr>
          <w:rFonts w:ascii="Times New Roman" w:hAnsi="Times New Roman" w:cs="Times New Roman"/>
        </w:rPr>
        <w:t xml:space="preserve"> &gt; Po drugie, </w:t>
      </w:r>
      <w:r w:rsidR="00595BE7">
        <w:rPr>
          <w:rFonts w:ascii="Times New Roman" w:hAnsi="Times New Roman" w:cs="Times New Roman"/>
        </w:rPr>
        <w:t>przeciętnie</w:t>
      </w:r>
      <w:r w:rsidRPr="00267F8C">
        <w:rPr>
          <w:rFonts w:ascii="Times New Roman" w:hAnsi="Times New Roman" w:cs="Times New Roman"/>
        </w:rPr>
        <w:t>, specjalizacja technologiczna pozytywnie wpływa na wzrost produktywności; jednak skala tego efektu różni się w zależności od rodzaju produktów zaawansowanych technologicznie. Ponadto pozytywny wpływ specjalizacji technologicznej jest widoczny wyłącznie w wynikach empirycznych dotyczących zasobów mineralnych.</w:t>
      </w:r>
    </w:p>
    <w:p w:rsidR="00595BE7" w:rsidRPr="00267F8C" w:rsidRDefault="00595BE7" w:rsidP="00BF038D">
      <w:pPr>
        <w:rPr>
          <w:rFonts w:ascii="Times New Roman" w:hAnsi="Times New Roman" w:cs="Times New Roman"/>
        </w:rPr>
      </w:pPr>
    </w:p>
    <w:p w:rsidR="00BF038D" w:rsidRDefault="00BF038D" w:rsidP="00BF038D">
      <w:pPr>
        <w:rPr>
          <w:rFonts w:ascii="Times New Roman" w:hAnsi="Times New Roman" w:cs="Times New Roman"/>
        </w:rPr>
      </w:pPr>
      <w:r w:rsidRPr="00595BE7">
        <w:rPr>
          <w:rFonts w:ascii="Times New Roman" w:hAnsi="Times New Roman" w:cs="Times New Roman"/>
          <w:b/>
        </w:rPr>
        <w:t>Uwagi</w:t>
      </w:r>
      <w:r w:rsidRPr="00267F8C">
        <w:rPr>
          <w:rFonts w:ascii="Times New Roman" w:hAnsi="Times New Roman" w:cs="Times New Roman"/>
        </w:rPr>
        <w:t xml:space="preserve">: Fragment podsumowujący wyniki </w:t>
      </w:r>
      <w:r w:rsidR="00595BE7">
        <w:rPr>
          <w:rFonts w:ascii="Times New Roman" w:hAnsi="Times New Roman" w:cs="Times New Roman"/>
        </w:rPr>
        <w:t>R</w:t>
      </w:r>
      <w:r w:rsidRPr="00267F8C">
        <w:rPr>
          <w:rFonts w:ascii="Times New Roman" w:hAnsi="Times New Roman" w:cs="Times New Roman"/>
        </w:rPr>
        <w:t>ozdziału 4 wydaje się mieszać przeciętny efekt specjalizacji technologicznej z jej interakcją z zależnością od zasobów mineralnych. Tekst stwierdza, że „średnio rzecz biorąc, specjalizacja technologiczna pozytywnie wpływa na wzrost produktywności”, po czym dodaje, że „pozytywny wpływ specjalizacji technologicznej jest widoczny wyłącznie w wynikach empirycznych dotyczących zasobów mineralnych”.</w:t>
      </w:r>
    </w:p>
    <w:p w:rsidR="00595BE7" w:rsidRPr="00267F8C" w:rsidRDefault="00595BE7"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 xml:space="preserve">Analiza </w:t>
      </w:r>
      <w:r w:rsidR="00595BE7">
        <w:rPr>
          <w:rFonts w:ascii="Times New Roman" w:hAnsi="Times New Roman" w:cs="Times New Roman"/>
        </w:rPr>
        <w:t>T</w:t>
      </w:r>
      <w:r w:rsidRPr="00267F8C">
        <w:rPr>
          <w:rFonts w:ascii="Times New Roman" w:hAnsi="Times New Roman" w:cs="Times New Roman"/>
        </w:rPr>
        <w:t>abeli 4.4 pokazuje, że efekt główny specjalizacji technologicznej ((TECH_{c,t-1})) jest dodatni i statystycznie istotny dla specyfikacji TOTAL NR, FUEL oraz PETROLEUM, natomiast dla MINERAL jest ujemny i nieistotny. Z kolei dodatni i słabo istotny wynik dla zasobów mineralnych pojawia się w wyrazie interakcyjnym ((NR \</w:t>
      </w:r>
      <w:proofErr w:type="spellStart"/>
      <w:r w:rsidRPr="00267F8C">
        <w:rPr>
          <w:rFonts w:ascii="Times New Roman" w:hAnsi="Times New Roman" w:cs="Times New Roman"/>
        </w:rPr>
        <w:t>times</w:t>
      </w:r>
      <w:proofErr w:type="spellEnd"/>
      <w:r w:rsidRPr="00267F8C">
        <w:rPr>
          <w:rFonts w:ascii="Times New Roman" w:hAnsi="Times New Roman" w:cs="Times New Roman"/>
        </w:rPr>
        <w:t xml:space="preserve"> TECH)_{c,t-1}), który wskazuje, że wyższe udziały TECH łagodzą negatywny wpływ zależności mineralnej na wzrost, zwłaszcza przy wysokich udziałach eksportu mineralnego.</w:t>
      </w:r>
    </w:p>
    <w:p w:rsidR="00595BE7" w:rsidRPr="00267F8C" w:rsidRDefault="00595BE7"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W obecnym brzmieniu zdanie podsumowujące sugeruje, że pozytywny wpływ technologii na wzrost produktywności występuje wyłącznie w przypadku zasobów mineralnych, co pozostaje w sprzeczności z tabelą i zaciera istotne rozróżnienie między bezwarunkowym efektem TECH a warunkowym, specyficznym dla zasobów mineralnych efektem interakcyjnym. Pomocne byłoby zrewidowanie tego podsumowania tak, aby wyraźnie oddzielało: (i) ogólnie dodatni efekt główny specjalizacji technologicznej na wzrost, który nie ogranicza się do zasobów mineralnych, od (ii) dodatkowej, specyficznej dla zasobów mineralnych roli łagodzącej, ujmowanej przez wyraz interakcyjny.</w:t>
      </w:r>
    </w:p>
    <w:p w:rsidR="00595BE7" w:rsidRPr="00267F8C" w:rsidRDefault="00595BE7"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595BE7" w:rsidRDefault="00BF038D" w:rsidP="00BF038D">
      <w:pPr>
        <w:rPr>
          <w:rFonts w:ascii="Times New Roman" w:hAnsi="Times New Roman" w:cs="Times New Roman"/>
          <w:b/>
        </w:rPr>
      </w:pPr>
      <w:r w:rsidRPr="00595BE7">
        <w:rPr>
          <w:rFonts w:ascii="Times New Roman" w:hAnsi="Times New Roman" w:cs="Times New Roman"/>
          <w:b/>
        </w:rPr>
        <w:t>48. Sprzeczność w podsumowaniu H2 dotyczącym wpływu technologii</w:t>
      </w:r>
    </w:p>
    <w:p w:rsidR="00BF038D" w:rsidRDefault="00BF038D" w:rsidP="00BF038D">
      <w:pPr>
        <w:rPr>
          <w:rFonts w:ascii="Times New Roman" w:hAnsi="Times New Roman" w:cs="Times New Roman"/>
        </w:rPr>
      </w:pPr>
      <w:r w:rsidRPr="00595BE7">
        <w:rPr>
          <w:rFonts w:ascii="Times New Roman" w:hAnsi="Times New Roman" w:cs="Times New Roman"/>
          <w:b/>
        </w:rPr>
        <w:t>Cytat:</w:t>
      </w:r>
      <w:r w:rsidRPr="00267F8C">
        <w:rPr>
          <w:rFonts w:ascii="Times New Roman" w:hAnsi="Times New Roman" w:cs="Times New Roman"/>
        </w:rPr>
        <w:t xml:space="preserve"> &gt; Sama specjalizacja technologiczna sprzyja wzrostowi produktywności, jednak ponownie istotność tej zależności widoczna jest jedynie w estymacjach dotyczących zależności mineralnej. W konsekwencji dostępne dowody są niewystarczające do odrzucenia hipotezy zerowej, a tym samym hipoteza H2 nie może zostać potwierdzona.</w:t>
      </w:r>
    </w:p>
    <w:p w:rsidR="00595BE7" w:rsidRPr="00267F8C" w:rsidRDefault="00595BE7" w:rsidP="00BF038D">
      <w:pPr>
        <w:rPr>
          <w:rFonts w:ascii="Times New Roman" w:hAnsi="Times New Roman" w:cs="Times New Roman"/>
        </w:rPr>
      </w:pPr>
    </w:p>
    <w:p w:rsidR="00BF038D" w:rsidRDefault="00BF038D" w:rsidP="00BF038D">
      <w:pPr>
        <w:rPr>
          <w:rFonts w:ascii="Times New Roman" w:hAnsi="Times New Roman" w:cs="Times New Roman"/>
        </w:rPr>
      </w:pPr>
      <w:r w:rsidRPr="00595BE7">
        <w:rPr>
          <w:rFonts w:ascii="Times New Roman" w:hAnsi="Times New Roman" w:cs="Times New Roman"/>
          <w:b/>
        </w:rPr>
        <w:t>Uwagi:</w:t>
      </w:r>
      <w:r w:rsidRPr="00267F8C">
        <w:rPr>
          <w:rFonts w:ascii="Times New Roman" w:hAnsi="Times New Roman" w:cs="Times New Roman"/>
        </w:rPr>
        <w:t xml:space="preserve"> Podsumowanie hipotezy H2 stwierdza obecnie, że istotność wpływu specjalizacji technologicznej na wzrost produktywności „widoczna jest jedynie w estymacjach dotyczących zależności mineralnej”. Trudno to pogodzić z </w:t>
      </w:r>
      <w:r w:rsidR="00595BE7">
        <w:rPr>
          <w:rFonts w:ascii="Times New Roman" w:hAnsi="Times New Roman" w:cs="Times New Roman"/>
        </w:rPr>
        <w:t>T</w:t>
      </w:r>
      <w:r w:rsidRPr="00267F8C">
        <w:rPr>
          <w:rFonts w:ascii="Times New Roman" w:hAnsi="Times New Roman" w:cs="Times New Roman"/>
        </w:rPr>
        <w:t>abelą 4.4, w której współczynnik przy (TECH_{c,t-1}) jest dodatni i statystycznie istotny dla TOTAL NR, FUEL oraz PETROLEUM, a nieistotny dla MINERAL. Natomiast to wyraz interakcyjny ((NR \</w:t>
      </w:r>
      <w:proofErr w:type="spellStart"/>
      <w:r w:rsidRPr="00267F8C">
        <w:rPr>
          <w:rFonts w:ascii="Times New Roman" w:hAnsi="Times New Roman" w:cs="Times New Roman"/>
        </w:rPr>
        <w:t>times</w:t>
      </w:r>
      <w:proofErr w:type="spellEnd"/>
      <w:r w:rsidRPr="00267F8C">
        <w:rPr>
          <w:rFonts w:ascii="Times New Roman" w:hAnsi="Times New Roman" w:cs="Times New Roman"/>
        </w:rPr>
        <w:t xml:space="preserve"> TECH)_{c,t-1}) jest istotny tylko w regresji dla MINERAL.</w:t>
      </w:r>
    </w:p>
    <w:p w:rsidR="00595BE7" w:rsidRPr="00267F8C" w:rsidRDefault="00595BE7"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lastRenderedPageBreak/>
        <w:t>Pomocne byłoby przeformułowanie tego zdania tak, aby w części wnioskowej jasno rozróżnić: (i) bezpośredni wpływ specjalizacji technologicznej na wzrost, który pojawia się dla kilku grup zasobów, oraz (ii) efekt łagodzący bądź wzmacniający uchwycony przez wyraz interakcyjny, który znajduje potwierdzenie statystyczne wyłącznie w przypadku zależności mineralnej. Dostosowanie sformułowania do układu wyników przedstawionego w tabeli 4.4 i w sekcji 4.3 usunęłoby tę pozorną sprzeczność i doprecyzowałoby, która część hipotezy H2 nie znajduje potwierdzenia.</w:t>
      </w:r>
    </w:p>
    <w:p w:rsidR="00595BE7" w:rsidRPr="00267F8C" w:rsidRDefault="00595BE7"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595BE7" w:rsidRDefault="00BF038D" w:rsidP="00BF038D">
      <w:pPr>
        <w:rPr>
          <w:rFonts w:ascii="Times New Roman" w:hAnsi="Times New Roman" w:cs="Times New Roman"/>
          <w:b/>
        </w:rPr>
      </w:pPr>
      <w:r w:rsidRPr="00595BE7">
        <w:rPr>
          <w:rFonts w:ascii="Times New Roman" w:hAnsi="Times New Roman" w:cs="Times New Roman"/>
          <w:b/>
        </w:rPr>
        <w:t>49. Potencjalna sprzeczność we wniosku dotyczącym H3</w:t>
      </w:r>
    </w:p>
    <w:p w:rsidR="00BF038D" w:rsidRDefault="00BF038D" w:rsidP="00BF038D">
      <w:pPr>
        <w:rPr>
          <w:rFonts w:ascii="Times New Roman" w:hAnsi="Times New Roman" w:cs="Times New Roman"/>
        </w:rPr>
      </w:pPr>
      <w:r w:rsidRPr="00595BE7">
        <w:rPr>
          <w:rFonts w:ascii="Times New Roman" w:hAnsi="Times New Roman" w:cs="Times New Roman"/>
          <w:b/>
        </w:rPr>
        <w:t>Cytat:</w:t>
      </w:r>
      <w:r w:rsidRPr="00267F8C">
        <w:rPr>
          <w:rFonts w:ascii="Times New Roman" w:hAnsi="Times New Roman" w:cs="Times New Roman"/>
        </w:rPr>
        <w:t xml:space="preserve"> &gt; Dekompozycja względnego indeksu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oparta na zasobach, przedstawiona w </w:t>
      </w:r>
      <w:r w:rsidR="00595BE7">
        <w:rPr>
          <w:rFonts w:ascii="Times New Roman" w:hAnsi="Times New Roman" w:cs="Times New Roman"/>
        </w:rPr>
        <w:t>P</w:t>
      </w:r>
      <w:r w:rsidRPr="00267F8C">
        <w:rPr>
          <w:rFonts w:ascii="Times New Roman" w:hAnsi="Times New Roman" w:cs="Times New Roman"/>
        </w:rPr>
        <w:t xml:space="preserve">odrozdziale 5.1, ujawnia, że przy niskich poziomach produktywności wysoka specjalizacja eksportowa jest zdominowana przez ważone korekty heterogeniczności w obrębie grupy produktów niezwiązanych z zasobami. ... Wyniki sugerują, że nadmierna zależność od zasobów naturalnych prowadzi do silniejszej specjalizacji eksportu ogółem, eksportu niezwiązanego z zasobami oraz eksportu technologicznego, a tym samym utrudnia proces dywersyfikacji. ... Biorąc pod uwagę wszystkie wyniki przedstawione w </w:t>
      </w:r>
      <w:r w:rsidR="00595BE7">
        <w:rPr>
          <w:rFonts w:ascii="Times New Roman" w:hAnsi="Times New Roman" w:cs="Times New Roman"/>
        </w:rPr>
        <w:t>R</w:t>
      </w:r>
      <w:r w:rsidRPr="00267F8C">
        <w:rPr>
          <w:rFonts w:ascii="Times New Roman" w:hAnsi="Times New Roman" w:cs="Times New Roman"/>
        </w:rPr>
        <w:t>ozdziale 5, dowody są niewystarczające do odrzucenia hipotezy zerowej, a tym samym hipoteza H3 nie może zostać potwierdzona.</w:t>
      </w:r>
    </w:p>
    <w:p w:rsidR="00595BE7" w:rsidRPr="00267F8C" w:rsidRDefault="00595BE7" w:rsidP="00BF038D">
      <w:pPr>
        <w:rPr>
          <w:rFonts w:ascii="Times New Roman" w:hAnsi="Times New Roman" w:cs="Times New Roman"/>
        </w:rPr>
      </w:pPr>
    </w:p>
    <w:p w:rsidR="00BF038D" w:rsidRDefault="00BF038D" w:rsidP="00BF038D">
      <w:pPr>
        <w:rPr>
          <w:rFonts w:ascii="Times New Roman" w:hAnsi="Times New Roman" w:cs="Times New Roman"/>
        </w:rPr>
      </w:pPr>
      <w:r w:rsidRPr="00595BE7">
        <w:rPr>
          <w:rFonts w:ascii="Times New Roman" w:hAnsi="Times New Roman" w:cs="Times New Roman"/>
          <w:b/>
        </w:rPr>
        <w:t>Uwagi:</w:t>
      </w:r>
      <w:r w:rsidRPr="00267F8C">
        <w:rPr>
          <w:rFonts w:ascii="Times New Roman" w:hAnsi="Times New Roman" w:cs="Times New Roman"/>
        </w:rPr>
        <w:t xml:space="preserve"> W części podsumowującej H3 w </w:t>
      </w:r>
      <w:r w:rsidR="00595BE7">
        <w:rPr>
          <w:rFonts w:ascii="Times New Roman" w:hAnsi="Times New Roman" w:cs="Times New Roman"/>
        </w:rPr>
        <w:t>R</w:t>
      </w:r>
      <w:r w:rsidRPr="00267F8C">
        <w:rPr>
          <w:rFonts w:ascii="Times New Roman" w:hAnsi="Times New Roman" w:cs="Times New Roman"/>
        </w:rPr>
        <w:t xml:space="preserve">ozdziale 6 wniosek jest trudny do prześledzenia. Akapit najpierw stwierdza, że dowody ekonometryczne z </w:t>
      </w:r>
      <w:r w:rsidR="00595BE7">
        <w:rPr>
          <w:rFonts w:ascii="Times New Roman" w:hAnsi="Times New Roman" w:cs="Times New Roman"/>
        </w:rPr>
        <w:t>R</w:t>
      </w:r>
      <w:r w:rsidRPr="00267F8C">
        <w:rPr>
          <w:rFonts w:ascii="Times New Roman" w:hAnsi="Times New Roman" w:cs="Times New Roman"/>
        </w:rPr>
        <w:t xml:space="preserve">ozdziału 5 pokazują, iż wyższe udziały eksportu zasobów naturalnych są związane z wyższym RT dla eksportu ogółem, niezwiązanego z zasobami oraz technologicznego, co jest zgodne z tezą, że zależność od zasobów spowalnia dywersyfikację. Następnie zauważa, że zgodnie z dekompozycją przy niskich poziomach produktywności indeks RT jest zdominowany przez składnik </w:t>
      </w:r>
      <w:proofErr w:type="spellStart"/>
      <w:r w:rsidRPr="00267F8C">
        <w:rPr>
          <w:rFonts w:ascii="Times New Roman" w:hAnsi="Times New Roman" w:cs="Times New Roman"/>
        </w:rPr>
        <w:t>within</w:t>
      </w:r>
      <w:proofErr w:type="spellEnd"/>
      <w:r w:rsidRPr="00267F8C">
        <w:rPr>
          <w:rFonts w:ascii="Times New Roman" w:hAnsi="Times New Roman" w:cs="Times New Roman"/>
        </w:rPr>
        <w:t>-non-</w:t>
      </w:r>
      <w:proofErr w:type="spellStart"/>
      <w:r w:rsidRPr="00267F8C">
        <w:rPr>
          <w:rFonts w:ascii="Times New Roman" w:hAnsi="Times New Roman" w:cs="Times New Roman"/>
        </w:rPr>
        <w:t>resource</w:t>
      </w:r>
      <w:proofErr w:type="spellEnd"/>
      <w:r w:rsidRPr="00267F8C">
        <w:rPr>
          <w:rFonts w:ascii="Times New Roman" w:hAnsi="Times New Roman" w:cs="Times New Roman"/>
        </w:rPr>
        <w:t>. Mimo to końcowe zdanie stwierdza, że „dowody są niewystarczające do odrzucenia hipotezy zerowej, a tym samym hipoteza H3 nie może zostać potwierdzona”.</w:t>
      </w:r>
    </w:p>
    <w:p w:rsidR="003614AD" w:rsidRPr="00267F8C" w:rsidRDefault="003614AD"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Nie jest dla czytelnika jasne, w jaki sposób elementy te są wzajemnie ważone. Jedna z naturalnych interpretacji jest taka, że pierwsza część H3, czyli że zależność od zasobów spowalnia dywersyfikację ogólnie, znajduje potwierdzenie w estymacjach GMM, natomiast druga część, dotycząca odpowiedzialności za nadmierną specjalizację konkretnie przy niskich poziomach rozwoju, jest uznana za niepotwierdzoną w świetle dekompozycji. Jeżeli taki jest zamierzony sens, warto byłoby wyrazić to explicite i wskazać, że H3 znajduje jedynie częściowe lub warunkowe potwierdzenie, zamiast po prostu stwierdzać, że „nie może zostać potwierdzona”.</w:t>
      </w:r>
    </w:p>
    <w:p w:rsidR="003614AD" w:rsidRPr="00267F8C" w:rsidRDefault="003614AD"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Ponadto sformułowanie „niewystarczające do odrzucenia hipotezy zerowej” jest w tym miejscu mylące. Nie zdefiniowano formalnie hipotezy zerowej i alternatywnej dla H3, a raportowane współczynniki NR w równaniu (10) są statystycznie istotne, przez co użyta formuła może łatwo wywołać wrażenie, że nie istnieje istotny wpływ zależności od zasobów na dywersyfikację. Doprecyzowanie, która hipoteza jest tu traktowana jako „zerowa”, oraz przeformułowanie tego zdania w bardziej standardowym języku ekonometrycznym uczyniłoby wniosek dotyczący H3 znacznie jaśniejszym dla docelowego odbiorcy.</w:t>
      </w:r>
    </w:p>
    <w:p w:rsidR="003614AD" w:rsidRPr="00267F8C" w:rsidRDefault="003614A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3614AD" w:rsidRDefault="00BF038D" w:rsidP="00BF038D">
      <w:pPr>
        <w:rPr>
          <w:rFonts w:ascii="Times New Roman" w:hAnsi="Times New Roman" w:cs="Times New Roman"/>
          <w:b/>
        </w:rPr>
      </w:pPr>
      <w:r w:rsidRPr="003614AD">
        <w:rPr>
          <w:rFonts w:ascii="Times New Roman" w:hAnsi="Times New Roman" w:cs="Times New Roman"/>
          <w:b/>
        </w:rPr>
        <w:t>50. Doprecyzowanie strategii estymacji GMM i efektów stałych</w:t>
      </w:r>
    </w:p>
    <w:p w:rsidR="00BF038D" w:rsidRPr="00267F8C" w:rsidRDefault="00BF038D" w:rsidP="00BF038D">
      <w:pPr>
        <w:rPr>
          <w:rFonts w:ascii="Times New Roman" w:hAnsi="Times New Roman" w:cs="Times New Roman"/>
        </w:rPr>
      </w:pPr>
      <w:r w:rsidRPr="00267F8C">
        <w:rPr>
          <w:rFonts w:ascii="Times New Roman" w:hAnsi="Times New Roman" w:cs="Times New Roman"/>
        </w:rPr>
        <w:t xml:space="preserve">    Status: [</w:t>
      </w:r>
      <w:proofErr w:type="spellStart"/>
      <w:r w:rsidRPr="00267F8C">
        <w:rPr>
          <w:rFonts w:ascii="Times New Roman" w:hAnsi="Times New Roman" w:cs="Times New Roman"/>
        </w:rPr>
        <w:t>Pending</w:t>
      </w:r>
      <w:proofErr w:type="spellEnd"/>
      <w:r w:rsidRPr="00267F8C">
        <w:rPr>
          <w:rFonts w:ascii="Times New Roman" w:hAnsi="Times New Roman" w:cs="Times New Roman"/>
        </w:rPr>
        <w:t>]</w:t>
      </w:r>
    </w:p>
    <w:p w:rsidR="00BF038D" w:rsidRDefault="00BF038D" w:rsidP="00BF038D">
      <w:pPr>
        <w:rPr>
          <w:rFonts w:ascii="Times New Roman" w:hAnsi="Times New Roman" w:cs="Times New Roman"/>
        </w:rPr>
      </w:pPr>
      <w:r w:rsidRPr="003614AD">
        <w:rPr>
          <w:rFonts w:ascii="Times New Roman" w:hAnsi="Times New Roman" w:cs="Times New Roman"/>
          <w:b/>
        </w:rPr>
        <w:lastRenderedPageBreak/>
        <w:t>Cytat:</w:t>
      </w:r>
      <w:r w:rsidRPr="00267F8C">
        <w:rPr>
          <w:rFonts w:ascii="Times New Roman" w:hAnsi="Times New Roman" w:cs="Times New Roman"/>
        </w:rPr>
        <w:t xml:space="preserve"> &gt; Dlatego, aby uniknąć utraty całej zmienności między krajami, w regresjach nie uwzględniono efektów stałych dla krajów (</w:t>
      </w:r>
      <w:proofErr w:type="spellStart"/>
      <w:r w:rsidRPr="00267F8C">
        <w:rPr>
          <w:rFonts w:ascii="Times New Roman" w:hAnsi="Times New Roman" w:cs="Times New Roman"/>
        </w:rPr>
        <w:t>Barro</w:t>
      </w:r>
      <w:proofErr w:type="spellEnd"/>
      <w:r w:rsidRPr="00267F8C">
        <w:rPr>
          <w:rFonts w:ascii="Times New Roman" w:hAnsi="Times New Roman" w:cs="Times New Roman"/>
        </w:rPr>
        <w:t xml:space="preserve">, 2015; </w:t>
      </w:r>
      <w:proofErr w:type="spellStart"/>
      <w:r w:rsidRPr="00267F8C">
        <w:rPr>
          <w:rFonts w:ascii="Times New Roman" w:hAnsi="Times New Roman" w:cs="Times New Roman"/>
        </w:rPr>
        <w:t>Bahar</w:t>
      </w:r>
      <w:proofErr w:type="spellEnd"/>
      <w:r w:rsidRPr="00267F8C">
        <w:rPr>
          <w:rFonts w:ascii="Times New Roman" w:hAnsi="Times New Roman" w:cs="Times New Roman"/>
        </w:rPr>
        <w:t xml:space="preserve"> i Santos, 2018). ... Wreszcie związek między wzrostem produktywności a eksportem zasobów naturalnych jest podatny na odwróconą przyczynowość i problemy endogeniczności (</w:t>
      </w:r>
      <w:proofErr w:type="spellStart"/>
      <w:r w:rsidRPr="00267F8C">
        <w:rPr>
          <w:rFonts w:ascii="Times New Roman" w:hAnsi="Times New Roman" w:cs="Times New Roman"/>
        </w:rPr>
        <w:t>Farhadi</w:t>
      </w:r>
      <w:proofErr w:type="spellEnd"/>
      <w:r w:rsidRPr="00267F8C">
        <w:rPr>
          <w:rFonts w:ascii="Times New Roman" w:hAnsi="Times New Roman" w:cs="Times New Roman"/>
        </w:rPr>
        <w:t xml:space="preserve"> i in., 2015). Dlatego stosujemy dwuetapowy efektywny estymator GMM z jednorocznym opóźnieniem potencjalnie endogenicznej zmiennej jako instrumentem.</w:t>
      </w:r>
    </w:p>
    <w:p w:rsidR="003614AD" w:rsidRPr="00267F8C" w:rsidRDefault="003614AD" w:rsidP="00BF038D">
      <w:pPr>
        <w:rPr>
          <w:rFonts w:ascii="Times New Roman" w:hAnsi="Times New Roman" w:cs="Times New Roman"/>
        </w:rPr>
      </w:pPr>
    </w:p>
    <w:p w:rsidR="00BF038D" w:rsidRDefault="00BF038D" w:rsidP="00BF038D">
      <w:pPr>
        <w:rPr>
          <w:rFonts w:ascii="Times New Roman" w:hAnsi="Times New Roman" w:cs="Times New Roman"/>
        </w:rPr>
      </w:pPr>
      <w:r w:rsidRPr="003614AD">
        <w:rPr>
          <w:rFonts w:ascii="Times New Roman" w:hAnsi="Times New Roman" w:cs="Times New Roman"/>
          <w:b/>
        </w:rPr>
        <w:t>Uwagi:</w:t>
      </w:r>
      <w:r w:rsidRPr="00267F8C">
        <w:rPr>
          <w:rFonts w:ascii="Times New Roman" w:hAnsi="Times New Roman" w:cs="Times New Roman"/>
        </w:rPr>
        <w:t xml:space="preserve"> Początkowo połączenie rezygnacji z efektów stałych dla krajów z odwołaniem do „dwuetapowego efektywnego estymatora GMM” sprawiło, że odniosłem wrażenie, iż </w:t>
      </w:r>
      <w:r w:rsidR="003614AD">
        <w:rPr>
          <w:rFonts w:ascii="Times New Roman" w:hAnsi="Times New Roman" w:cs="Times New Roman"/>
        </w:rPr>
        <w:t>może Pani</w:t>
      </w:r>
      <w:r w:rsidRPr="00267F8C">
        <w:rPr>
          <w:rFonts w:ascii="Times New Roman" w:hAnsi="Times New Roman" w:cs="Times New Roman"/>
        </w:rPr>
        <w:t xml:space="preserve"> stosować standardowy dynamiczny panelowy GMM, różnicowy lub systemowy, a jednocześnie pomijać efekty stałe, które ta metoda ma właśnie kontrolować. Następnie zrozumiałem na podstawie not do tabel, dotyczących zmiennej instrumentowanej oraz statystyk </w:t>
      </w:r>
      <w:proofErr w:type="spellStart"/>
      <w:r w:rsidRPr="00267F8C">
        <w:rPr>
          <w:rFonts w:ascii="Times New Roman" w:hAnsi="Times New Roman" w:cs="Times New Roman"/>
        </w:rPr>
        <w:t>Kleibergena</w:t>
      </w:r>
      <w:proofErr w:type="spellEnd"/>
      <w:r w:rsidRPr="00267F8C">
        <w:rPr>
          <w:rFonts w:ascii="Times New Roman" w:hAnsi="Times New Roman" w:cs="Times New Roman"/>
        </w:rPr>
        <w:t>–</w:t>
      </w:r>
      <w:proofErr w:type="spellStart"/>
      <w:r w:rsidRPr="00267F8C">
        <w:rPr>
          <w:rFonts w:ascii="Times New Roman" w:hAnsi="Times New Roman" w:cs="Times New Roman"/>
        </w:rPr>
        <w:t>Paapa</w:t>
      </w:r>
      <w:proofErr w:type="spellEnd"/>
      <w:r w:rsidRPr="00267F8C">
        <w:rPr>
          <w:rFonts w:ascii="Times New Roman" w:hAnsi="Times New Roman" w:cs="Times New Roman"/>
        </w:rPr>
        <w:t xml:space="preserve">, że zastosowana implementacja ma zasadniczo charakter skumulowanej estymacji IV-GMM bez zmiennych zero-jedynkowych dla krajów, w duchu regresji wzrostu typu </w:t>
      </w:r>
      <w:proofErr w:type="spellStart"/>
      <w:r w:rsidRPr="00267F8C">
        <w:rPr>
          <w:rFonts w:ascii="Times New Roman" w:hAnsi="Times New Roman" w:cs="Times New Roman"/>
        </w:rPr>
        <w:t>Barro</w:t>
      </w:r>
      <w:proofErr w:type="spellEnd"/>
      <w:r w:rsidRPr="00267F8C">
        <w:rPr>
          <w:rFonts w:ascii="Times New Roman" w:hAnsi="Times New Roman" w:cs="Times New Roman"/>
        </w:rPr>
        <w:t>.</w:t>
      </w:r>
    </w:p>
    <w:p w:rsidR="003614AD" w:rsidRPr="00267F8C" w:rsidRDefault="003614AD" w:rsidP="00BF038D">
      <w:pPr>
        <w:rPr>
          <w:rFonts w:ascii="Times New Roman" w:hAnsi="Times New Roman" w:cs="Times New Roman"/>
        </w:rPr>
      </w:pPr>
    </w:p>
    <w:p w:rsidR="00BF038D" w:rsidRDefault="00BF038D" w:rsidP="00BF038D">
      <w:pPr>
        <w:rPr>
          <w:rFonts w:ascii="Times New Roman" w:hAnsi="Times New Roman" w:cs="Times New Roman"/>
        </w:rPr>
      </w:pPr>
      <w:r w:rsidRPr="00267F8C">
        <w:rPr>
          <w:rFonts w:ascii="Times New Roman" w:hAnsi="Times New Roman" w:cs="Times New Roman"/>
        </w:rPr>
        <w:t>Mimo to pomocne byłoby wyrażenie tego bardziej jednoznacznie: wskazanie, że estymuj</w:t>
      </w:r>
      <w:r w:rsidR="003614AD">
        <w:rPr>
          <w:rFonts w:ascii="Times New Roman" w:hAnsi="Times New Roman" w:cs="Times New Roman"/>
        </w:rPr>
        <w:t>e Pani</w:t>
      </w:r>
      <w:r w:rsidRPr="00267F8C">
        <w:rPr>
          <w:rFonts w:ascii="Times New Roman" w:hAnsi="Times New Roman" w:cs="Times New Roman"/>
        </w:rPr>
        <w:t xml:space="preserve"> skumulowany model IV-GMM z efektami czasowymi, ujętymi poprzez indeks cen zasobów, określenie, które </w:t>
      </w:r>
      <w:proofErr w:type="spellStart"/>
      <w:r w:rsidRPr="00267F8C">
        <w:rPr>
          <w:rFonts w:ascii="Times New Roman" w:hAnsi="Times New Roman" w:cs="Times New Roman"/>
        </w:rPr>
        <w:t>regresory</w:t>
      </w:r>
      <w:proofErr w:type="spellEnd"/>
      <w:r w:rsidRPr="00267F8C">
        <w:rPr>
          <w:rFonts w:ascii="Times New Roman" w:hAnsi="Times New Roman" w:cs="Times New Roman"/>
        </w:rPr>
        <w:t xml:space="preserve"> traktowane są jako endogeniczne, oraz krótkie omówienie kompromisu związanego z nieuwzględnianiem efektów stałych dla krajów w kategoriach potencjalnej nieobserwowalnej heterogeniczności krajów versus zachowania zmienności </w:t>
      </w:r>
      <w:proofErr w:type="spellStart"/>
      <w:r w:rsidRPr="00267F8C">
        <w:rPr>
          <w:rFonts w:ascii="Times New Roman" w:hAnsi="Times New Roman" w:cs="Times New Roman"/>
        </w:rPr>
        <w:t>międzykrajowej</w:t>
      </w:r>
      <w:proofErr w:type="spellEnd"/>
      <w:r w:rsidRPr="00267F8C">
        <w:rPr>
          <w:rFonts w:ascii="Times New Roman" w:hAnsi="Times New Roman" w:cs="Times New Roman"/>
        </w:rPr>
        <w:t xml:space="preserve"> w silnie trwałej zmiennej udziału zasobów.</w:t>
      </w:r>
    </w:p>
    <w:p w:rsidR="003614AD" w:rsidRPr="00267F8C" w:rsidRDefault="003614A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3614AD" w:rsidRDefault="00BF038D" w:rsidP="00BF038D">
      <w:pPr>
        <w:rPr>
          <w:rFonts w:ascii="Times New Roman" w:hAnsi="Times New Roman" w:cs="Times New Roman"/>
          <w:b/>
        </w:rPr>
      </w:pPr>
      <w:r w:rsidRPr="003614AD">
        <w:rPr>
          <w:rFonts w:ascii="Times New Roman" w:hAnsi="Times New Roman" w:cs="Times New Roman"/>
          <w:b/>
        </w:rPr>
        <w:t xml:space="preserve">51. Rozbieżność w liczbie krajów w </w:t>
      </w:r>
      <w:r w:rsidR="003614AD">
        <w:rPr>
          <w:rFonts w:ascii="Times New Roman" w:hAnsi="Times New Roman" w:cs="Times New Roman"/>
          <w:b/>
        </w:rPr>
        <w:t>T</w:t>
      </w:r>
      <w:r w:rsidRPr="003614AD">
        <w:rPr>
          <w:rFonts w:ascii="Times New Roman" w:hAnsi="Times New Roman" w:cs="Times New Roman"/>
          <w:b/>
        </w:rPr>
        <w:t>abeli A.2</w:t>
      </w:r>
    </w:p>
    <w:p w:rsidR="00BF038D" w:rsidRDefault="00BF038D" w:rsidP="00BF038D">
      <w:pPr>
        <w:rPr>
          <w:rFonts w:ascii="Times New Roman" w:hAnsi="Times New Roman" w:cs="Times New Roman"/>
        </w:rPr>
      </w:pPr>
      <w:r w:rsidRPr="003614AD">
        <w:rPr>
          <w:rFonts w:ascii="Times New Roman" w:hAnsi="Times New Roman" w:cs="Times New Roman"/>
          <w:b/>
        </w:rPr>
        <w:t>Cytat:</w:t>
      </w:r>
      <w:r w:rsidRPr="00267F8C">
        <w:rPr>
          <w:rFonts w:ascii="Times New Roman" w:hAnsi="Times New Roman" w:cs="Times New Roman"/>
        </w:rPr>
        <w:t xml:space="preserve"> &gt; | Kraje o niskim dochodzie (6) | Czad, Demokratyczna Republika Konga, Gwinea, Mozambik, Sudan, Jemen, Zambia |</w:t>
      </w:r>
    </w:p>
    <w:p w:rsidR="003614AD" w:rsidRPr="00267F8C" w:rsidRDefault="003614AD" w:rsidP="00BF038D">
      <w:pPr>
        <w:rPr>
          <w:rFonts w:ascii="Times New Roman" w:hAnsi="Times New Roman" w:cs="Times New Roman"/>
        </w:rPr>
      </w:pPr>
    </w:p>
    <w:p w:rsidR="00BF038D" w:rsidRDefault="00BF038D" w:rsidP="00BF038D">
      <w:pPr>
        <w:rPr>
          <w:rFonts w:ascii="Times New Roman" w:hAnsi="Times New Roman" w:cs="Times New Roman"/>
        </w:rPr>
      </w:pPr>
      <w:r w:rsidRPr="003614AD">
        <w:rPr>
          <w:rFonts w:ascii="Times New Roman" w:hAnsi="Times New Roman" w:cs="Times New Roman"/>
          <w:b/>
        </w:rPr>
        <w:t>Uwagi:</w:t>
      </w:r>
      <w:r w:rsidRPr="00267F8C">
        <w:rPr>
          <w:rFonts w:ascii="Times New Roman" w:hAnsi="Times New Roman" w:cs="Times New Roman"/>
        </w:rPr>
        <w:t xml:space="preserve"> W </w:t>
      </w:r>
      <w:r w:rsidR="003614AD">
        <w:rPr>
          <w:rFonts w:ascii="Times New Roman" w:hAnsi="Times New Roman" w:cs="Times New Roman"/>
        </w:rPr>
        <w:t>T</w:t>
      </w:r>
      <w:r w:rsidRPr="00267F8C">
        <w:rPr>
          <w:rFonts w:ascii="Times New Roman" w:hAnsi="Times New Roman" w:cs="Times New Roman"/>
        </w:rPr>
        <w:t>abeli A.2, „Lista eksporterów zasobów naturalnych”, nagłówek dla grupy krajów o niskim dochodzie wskazuje, że obejmuje ona 6 państw, podczas gdy następująca po nim lista zawiera 7 krajów. Jeden z tych elementów, albo liczba, albo lista, musi być zatem niepoprawny. Warto zweryfikować, które kraje o niskim dochodzie rzeczywiście spełniają definicję „eksportera zasobów naturalnych” zastosowaną w analizie, i odpowiednio skorygować tabelę, tak aby podana liczba i lista państw były ze sobą zgodne.</w:t>
      </w:r>
    </w:p>
    <w:p w:rsidR="003614AD" w:rsidRPr="00267F8C" w:rsidRDefault="003614A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3614AD" w:rsidRDefault="00BF038D" w:rsidP="00BF038D">
      <w:pPr>
        <w:rPr>
          <w:rFonts w:ascii="Times New Roman" w:hAnsi="Times New Roman" w:cs="Times New Roman"/>
          <w:b/>
        </w:rPr>
      </w:pPr>
      <w:r w:rsidRPr="003614AD">
        <w:rPr>
          <w:rFonts w:ascii="Times New Roman" w:hAnsi="Times New Roman" w:cs="Times New Roman"/>
          <w:b/>
        </w:rPr>
        <w:t xml:space="preserve">52. Niezdefiniowane skróty nazw zmiennych w </w:t>
      </w:r>
      <w:r w:rsidR="003614AD">
        <w:rPr>
          <w:rFonts w:ascii="Times New Roman" w:hAnsi="Times New Roman" w:cs="Times New Roman"/>
          <w:b/>
        </w:rPr>
        <w:t>T</w:t>
      </w:r>
      <w:r w:rsidRPr="003614AD">
        <w:rPr>
          <w:rFonts w:ascii="Times New Roman" w:hAnsi="Times New Roman" w:cs="Times New Roman"/>
          <w:b/>
        </w:rPr>
        <w:t>abeli A.7</w:t>
      </w:r>
    </w:p>
    <w:p w:rsidR="00BF038D" w:rsidRDefault="00BF038D" w:rsidP="00BF038D">
      <w:pPr>
        <w:rPr>
          <w:rFonts w:ascii="Times New Roman" w:hAnsi="Times New Roman" w:cs="Times New Roman"/>
        </w:rPr>
      </w:pPr>
      <w:r w:rsidRPr="003614AD">
        <w:rPr>
          <w:rFonts w:ascii="Times New Roman" w:hAnsi="Times New Roman" w:cs="Times New Roman"/>
          <w:b/>
        </w:rPr>
        <w:t>Cytat:</w:t>
      </w:r>
      <w:r w:rsidRPr="00267F8C">
        <w:rPr>
          <w:rFonts w:ascii="Times New Roman" w:hAnsi="Times New Roman" w:cs="Times New Roman"/>
        </w:rPr>
        <w:t xml:space="preserve"> &gt; | Indeksy dywersyfikacji eksportu | RT | BACI CEPII ${ }^{1}$ | 4160 | 2.87 | 1.52 | 0.33 | 9.19 | | | RT_inr_RC1 | BACI CEPII ${ }^{1}$ | 4160 | 3.11 | 1.62 | 0.30 | 9.20 | ... | Udział eksportu zasobów w eksporcie ogółem | ScRC1 | BACI CEPII ${ }^{1}$ | 4160 | 0.29 | 0.29 | 0 | 0.99 |</w:t>
      </w:r>
    </w:p>
    <w:p w:rsidR="003614AD" w:rsidRPr="00267F8C" w:rsidRDefault="003614AD" w:rsidP="00BF038D">
      <w:pPr>
        <w:rPr>
          <w:rFonts w:ascii="Times New Roman" w:hAnsi="Times New Roman" w:cs="Times New Roman"/>
        </w:rPr>
      </w:pPr>
    </w:p>
    <w:p w:rsidR="003614AD" w:rsidRDefault="003614AD" w:rsidP="00BF038D">
      <w:pPr>
        <w:rPr>
          <w:rFonts w:ascii="Times New Roman" w:hAnsi="Times New Roman" w:cs="Times New Roman"/>
        </w:rPr>
      </w:pPr>
    </w:p>
    <w:p w:rsidR="00BF038D" w:rsidRDefault="00BF038D" w:rsidP="00BF038D">
      <w:pPr>
        <w:rPr>
          <w:rFonts w:ascii="Times New Roman" w:hAnsi="Times New Roman" w:cs="Times New Roman"/>
        </w:rPr>
      </w:pPr>
      <w:r w:rsidRPr="003614AD">
        <w:rPr>
          <w:rFonts w:ascii="Times New Roman" w:hAnsi="Times New Roman" w:cs="Times New Roman"/>
          <w:b/>
        </w:rPr>
        <w:t>Uwagi:</w:t>
      </w:r>
      <w:r w:rsidRPr="00267F8C">
        <w:rPr>
          <w:rFonts w:ascii="Times New Roman" w:hAnsi="Times New Roman" w:cs="Times New Roman"/>
        </w:rPr>
        <w:t xml:space="preserve"> W </w:t>
      </w:r>
      <w:r w:rsidR="003614AD">
        <w:rPr>
          <w:rFonts w:ascii="Times New Roman" w:hAnsi="Times New Roman" w:cs="Times New Roman"/>
        </w:rPr>
        <w:t>T</w:t>
      </w:r>
      <w:r w:rsidRPr="00267F8C">
        <w:rPr>
          <w:rFonts w:ascii="Times New Roman" w:hAnsi="Times New Roman" w:cs="Times New Roman"/>
        </w:rPr>
        <w:t xml:space="preserve">abeli A.7, „Statystyki opisowe”, wiele skróconych nazw zmiennych, takich jak RT_inr_RC1–RT_inr_RC8, ScRC1–ScRC8, RT_int_TC1–RT_int_TC3 oraz ScTC1–ScTC3, nie zostało objaśnionych w tekście. Można wprawdzie wywnioskować, że RT oznacza względny indeks </w:t>
      </w:r>
      <w:proofErr w:type="spellStart"/>
      <w:r w:rsidRPr="00267F8C">
        <w:rPr>
          <w:rFonts w:ascii="Times New Roman" w:hAnsi="Times New Roman" w:cs="Times New Roman"/>
        </w:rPr>
        <w:t>Theila</w:t>
      </w:r>
      <w:proofErr w:type="spellEnd"/>
      <w:r w:rsidRPr="00267F8C">
        <w:rPr>
          <w:rFonts w:ascii="Times New Roman" w:hAnsi="Times New Roman" w:cs="Times New Roman"/>
        </w:rPr>
        <w:t xml:space="preserve">, Sc udział, a RC/TC odnoszą się do klasyfikacji zasobowych i technologicznych przedstawionych w </w:t>
      </w:r>
      <w:r w:rsidR="003614AD">
        <w:rPr>
          <w:rFonts w:ascii="Times New Roman" w:hAnsi="Times New Roman" w:cs="Times New Roman"/>
        </w:rPr>
        <w:t>T</w:t>
      </w:r>
      <w:r w:rsidRPr="00267F8C">
        <w:rPr>
          <w:rFonts w:ascii="Times New Roman" w:hAnsi="Times New Roman" w:cs="Times New Roman"/>
        </w:rPr>
        <w:t>abelach A.4 i A.5, jednak nie podano konkretnego przyporządkowania indeksów 1, 2, …, 8 dla RC oraz 1, 2, 3 dla TC do nazwanych klasyfikacji, ani nie wyjaśniono znaczenia członu „</w:t>
      </w:r>
      <w:proofErr w:type="spellStart"/>
      <w:r w:rsidRPr="00267F8C">
        <w:rPr>
          <w:rFonts w:ascii="Times New Roman" w:hAnsi="Times New Roman" w:cs="Times New Roman"/>
        </w:rPr>
        <w:t>inr</w:t>
      </w:r>
      <w:proofErr w:type="spellEnd"/>
      <w:r w:rsidRPr="00267F8C">
        <w:rPr>
          <w:rFonts w:ascii="Times New Roman" w:hAnsi="Times New Roman" w:cs="Times New Roman"/>
        </w:rPr>
        <w:t>” w odróżnieniu od „</w:t>
      </w:r>
      <w:proofErr w:type="spellStart"/>
      <w:r w:rsidRPr="00267F8C">
        <w:rPr>
          <w:rFonts w:ascii="Times New Roman" w:hAnsi="Times New Roman" w:cs="Times New Roman"/>
        </w:rPr>
        <w:t>int</w:t>
      </w:r>
      <w:proofErr w:type="spellEnd"/>
      <w:r w:rsidRPr="00267F8C">
        <w:rPr>
          <w:rFonts w:ascii="Times New Roman" w:hAnsi="Times New Roman" w:cs="Times New Roman"/>
        </w:rPr>
        <w:t xml:space="preserve">”. </w:t>
      </w:r>
      <w:r w:rsidRPr="00267F8C">
        <w:rPr>
          <w:rFonts w:ascii="Times New Roman" w:hAnsi="Times New Roman" w:cs="Times New Roman"/>
        </w:rPr>
        <w:lastRenderedPageBreak/>
        <w:t xml:space="preserve">Zamieszczenie krótkiej legendy, która powiązałaby każde </w:t>
      </w:r>
      <w:proofErr w:type="spellStart"/>
      <w:r w:rsidRPr="00267F8C">
        <w:rPr>
          <w:rFonts w:ascii="Times New Roman" w:hAnsi="Times New Roman" w:cs="Times New Roman"/>
        </w:rPr>
        <w:t>RCi</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TCj</w:t>
      </w:r>
      <w:proofErr w:type="spellEnd"/>
      <w:r w:rsidRPr="00267F8C">
        <w:rPr>
          <w:rFonts w:ascii="Times New Roman" w:hAnsi="Times New Roman" w:cs="Times New Roman"/>
        </w:rPr>
        <w:t xml:space="preserve"> z odpowiadającą mu klasyfikacją oraz objaśniła zapis „</w:t>
      </w:r>
      <w:proofErr w:type="spellStart"/>
      <w:r w:rsidRPr="00267F8C">
        <w:rPr>
          <w:rFonts w:ascii="Times New Roman" w:hAnsi="Times New Roman" w:cs="Times New Roman"/>
        </w:rPr>
        <w:t>inr</w:t>
      </w:r>
      <w:proofErr w:type="spellEnd"/>
      <w:r w:rsidRPr="00267F8C">
        <w:rPr>
          <w:rFonts w:ascii="Times New Roman" w:hAnsi="Times New Roman" w:cs="Times New Roman"/>
        </w:rPr>
        <w:t>”/„</w:t>
      </w:r>
      <w:proofErr w:type="spellStart"/>
      <w:r w:rsidRPr="00267F8C">
        <w:rPr>
          <w:rFonts w:ascii="Times New Roman" w:hAnsi="Times New Roman" w:cs="Times New Roman"/>
        </w:rPr>
        <w:t>int</w:t>
      </w:r>
      <w:proofErr w:type="spellEnd"/>
      <w:r w:rsidRPr="00267F8C">
        <w:rPr>
          <w:rFonts w:ascii="Times New Roman" w:hAnsi="Times New Roman" w:cs="Times New Roman"/>
        </w:rPr>
        <w:t xml:space="preserve">”, uczyniłoby </w:t>
      </w:r>
      <w:r w:rsidR="003614AD">
        <w:rPr>
          <w:rFonts w:ascii="Times New Roman" w:hAnsi="Times New Roman" w:cs="Times New Roman"/>
        </w:rPr>
        <w:t>T</w:t>
      </w:r>
      <w:r w:rsidRPr="00267F8C">
        <w:rPr>
          <w:rFonts w:ascii="Times New Roman" w:hAnsi="Times New Roman" w:cs="Times New Roman"/>
        </w:rPr>
        <w:t>abelę A.7 znacznie łatwiejszą do interpretacji i pomogłoby czytelnikom odnieść statystyki opisowe do pojęć i klasyfikacji stosowanych w tekście głównym.</w:t>
      </w:r>
    </w:p>
    <w:p w:rsidR="003614AD" w:rsidRPr="00267F8C" w:rsidRDefault="003614A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3614AD" w:rsidRDefault="00BF038D" w:rsidP="00BF038D">
      <w:pPr>
        <w:rPr>
          <w:rFonts w:ascii="Times New Roman" w:hAnsi="Times New Roman" w:cs="Times New Roman"/>
          <w:b/>
        </w:rPr>
      </w:pPr>
      <w:r w:rsidRPr="003614AD">
        <w:rPr>
          <w:rFonts w:ascii="Times New Roman" w:hAnsi="Times New Roman" w:cs="Times New Roman"/>
          <w:b/>
        </w:rPr>
        <w:t xml:space="preserve">53. Sprzeczny znak współczynnika w </w:t>
      </w:r>
      <w:r w:rsidR="003614AD">
        <w:rPr>
          <w:rFonts w:ascii="Times New Roman" w:hAnsi="Times New Roman" w:cs="Times New Roman"/>
          <w:b/>
        </w:rPr>
        <w:t>T</w:t>
      </w:r>
      <w:r w:rsidRPr="003614AD">
        <w:rPr>
          <w:rFonts w:ascii="Times New Roman" w:hAnsi="Times New Roman" w:cs="Times New Roman"/>
          <w:b/>
        </w:rPr>
        <w:t>abeli B.2</w:t>
      </w:r>
    </w:p>
    <w:p w:rsidR="00BF038D" w:rsidRDefault="00BF038D" w:rsidP="00BF038D">
      <w:pPr>
        <w:rPr>
          <w:rFonts w:ascii="Times New Roman" w:hAnsi="Times New Roman" w:cs="Times New Roman"/>
        </w:rPr>
      </w:pPr>
      <w:r w:rsidRPr="003614AD">
        <w:rPr>
          <w:rFonts w:ascii="Times New Roman" w:hAnsi="Times New Roman" w:cs="Times New Roman"/>
          <w:b/>
        </w:rPr>
        <w:t>Cytat:</w:t>
      </w:r>
      <w:r w:rsidRPr="00267F8C">
        <w:rPr>
          <w:rFonts w:ascii="Times New Roman" w:hAnsi="Times New Roman" w:cs="Times New Roman"/>
        </w:rPr>
        <w:t xml:space="preserve"> &gt; | $y_{c, t-1}$ | -0.027*** | -0.024*** | -0.028*** | -0.025*** | -0.027*** | 0.024*** | -0.023*** | -0.027*** | | | (0.005) | (0.005) | (0.005) | (0.004) | (0.005) | $\</w:t>
      </w:r>
      <w:proofErr w:type="spellStart"/>
      <w:r w:rsidRPr="00267F8C">
        <w:rPr>
          <w:rFonts w:ascii="Times New Roman" w:hAnsi="Times New Roman" w:cs="Times New Roman"/>
        </w:rPr>
        <w:t>begin</w:t>
      </w:r>
      <w:proofErr w:type="spellEnd"/>
      <w:r w:rsidRPr="00267F8C">
        <w:rPr>
          <w:rFonts w:ascii="Times New Roman" w:hAnsi="Times New Roman" w:cs="Times New Roman"/>
        </w:rPr>
        <w:t>{</w:t>
      </w:r>
      <w:proofErr w:type="spellStart"/>
      <w:r w:rsidRPr="00267F8C">
        <w:rPr>
          <w:rFonts w:ascii="Times New Roman" w:hAnsi="Times New Roman" w:cs="Times New Roman"/>
        </w:rPr>
        <w:t>gathered</w:t>
      </w:r>
      <w:proofErr w:type="spellEnd"/>
      <w:r w:rsidRPr="00267F8C">
        <w:rPr>
          <w:rFonts w:ascii="Times New Roman" w:hAnsi="Times New Roman" w:cs="Times New Roman"/>
        </w:rPr>
        <w:t>} -0.024^{***} \ (0.005) \end{</w:t>
      </w:r>
      <w:proofErr w:type="spellStart"/>
      <w:r w:rsidRPr="00267F8C">
        <w:rPr>
          <w:rFonts w:ascii="Times New Roman" w:hAnsi="Times New Roman" w:cs="Times New Roman"/>
        </w:rPr>
        <w:t>gathered</w:t>
      </w:r>
      <w:proofErr w:type="spellEnd"/>
      <w:r w:rsidRPr="00267F8C">
        <w:rPr>
          <w:rFonts w:ascii="Times New Roman" w:hAnsi="Times New Roman" w:cs="Times New Roman"/>
        </w:rPr>
        <w:t>}$ | (0.004) | (0.005) |</w:t>
      </w:r>
    </w:p>
    <w:p w:rsidR="003614AD" w:rsidRPr="00267F8C" w:rsidRDefault="003614AD" w:rsidP="00BF038D">
      <w:pPr>
        <w:rPr>
          <w:rFonts w:ascii="Times New Roman" w:hAnsi="Times New Roman" w:cs="Times New Roman"/>
        </w:rPr>
      </w:pPr>
    </w:p>
    <w:p w:rsidR="00BF038D" w:rsidRDefault="00BF038D" w:rsidP="00BF038D">
      <w:pPr>
        <w:rPr>
          <w:rFonts w:ascii="Times New Roman" w:hAnsi="Times New Roman" w:cs="Times New Roman"/>
        </w:rPr>
      </w:pPr>
      <w:r w:rsidRPr="003614AD">
        <w:rPr>
          <w:rFonts w:ascii="Times New Roman" w:hAnsi="Times New Roman" w:cs="Times New Roman"/>
          <w:b/>
        </w:rPr>
        <w:t>Uwagi:</w:t>
      </w:r>
      <w:r w:rsidRPr="00267F8C">
        <w:rPr>
          <w:rFonts w:ascii="Times New Roman" w:hAnsi="Times New Roman" w:cs="Times New Roman"/>
        </w:rPr>
        <w:t xml:space="preserve"> W </w:t>
      </w:r>
      <w:r w:rsidR="003614AD">
        <w:rPr>
          <w:rFonts w:ascii="Times New Roman" w:hAnsi="Times New Roman" w:cs="Times New Roman"/>
        </w:rPr>
        <w:t>T</w:t>
      </w:r>
      <w:r w:rsidRPr="00267F8C">
        <w:rPr>
          <w:rFonts w:ascii="Times New Roman" w:hAnsi="Times New Roman" w:cs="Times New Roman"/>
        </w:rPr>
        <w:t>abeli B.2, w kolumnie (6), zapis dotyczący opóźnionej zmiennej produktywności (y_{c,t-1}) jest wewnętrznie niespójny. W pierwszym wierszu tej pozycji widnieje „0.024***”, podczas gdy drugi wiersz dla tej samej kolumny zawiera „-0.024*** (0.005)”, a więc ten sam współczynnik został w istocie podany dwukrotnie z przeciwnymi znakami. Biorąc pod uwagę, że wszystkie pozostałe specyfikacje w rozprawie dają ujemny i wysoce istotny współczynnik przy (y_{c,t-1}), a teoria konwergencji również przewiduje znak ujemny, niemal na pewno jest to błąd składu. Pomocne byłoby skorygowanie kolumny (6) tak, aby zawierała wyłącznie zamierzony współczynnik i odpowiadający mu błąd standardowy.</w:t>
      </w:r>
    </w:p>
    <w:p w:rsidR="003614AD" w:rsidRPr="00267F8C" w:rsidRDefault="003614A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3614AD" w:rsidRDefault="00BF038D" w:rsidP="00BF038D">
      <w:pPr>
        <w:rPr>
          <w:rFonts w:ascii="Times New Roman" w:hAnsi="Times New Roman" w:cs="Times New Roman"/>
          <w:b/>
        </w:rPr>
      </w:pPr>
      <w:r w:rsidRPr="003614AD">
        <w:rPr>
          <w:rFonts w:ascii="Times New Roman" w:hAnsi="Times New Roman" w:cs="Times New Roman"/>
          <w:b/>
        </w:rPr>
        <w:t>54. Brakujące współczynniki w tabelach B.7 i B.8</w:t>
      </w:r>
    </w:p>
    <w:p w:rsidR="003614AD" w:rsidRDefault="00BF038D" w:rsidP="00BF038D">
      <w:pPr>
        <w:rPr>
          <w:rFonts w:ascii="Times New Roman" w:hAnsi="Times New Roman" w:cs="Times New Roman"/>
        </w:rPr>
      </w:pPr>
      <w:r w:rsidRPr="003614AD">
        <w:rPr>
          <w:rFonts w:ascii="Times New Roman" w:hAnsi="Times New Roman" w:cs="Times New Roman"/>
          <w:b/>
        </w:rPr>
        <w:t>Uwagi:</w:t>
      </w:r>
      <w:r w:rsidRPr="00267F8C">
        <w:rPr>
          <w:rFonts w:ascii="Times New Roman" w:hAnsi="Times New Roman" w:cs="Times New Roman"/>
        </w:rPr>
        <w:t xml:space="preserve"> W </w:t>
      </w:r>
      <w:r w:rsidR="003614AD">
        <w:rPr>
          <w:rFonts w:ascii="Times New Roman" w:hAnsi="Times New Roman" w:cs="Times New Roman"/>
        </w:rPr>
        <w:t>T</w:t>
      </w:r>
      <w:r w:rsidRPr="00267F8C">
        <w:rPr>
          <w:rFonts w:ascii="Times New Roman" w:hAnsi="Times New Roman" w:cs="Times New Roman"/>
        </w:rPr>
        <w:t xml:space="preserve">abelach B.7 i B.8, obejmujących specyfikacje wykorzystujące renty z zasobów naturalnych, w kilku komórkach znajdują się wyłącznie liczby w nawiasach, które zgodnie z przyjętą konwencją oznaczają błędy standardowe, bez odpowiadającego im oszacowania punktowego. Przykładowo, w </w:t>
      </w:r>
      <w:r w:rsidR="003614AD">
        <w:rPr>
          <w:rFonts w:ascii="Times New Roman" w:hAnsi="Times New Roman" w:cs="Times New Roman"/>
        </w:rPr>
        <w:t>T</w:t>
      </w:r>
      <w:r w:rsidRPr="00267F8C">
        <w:rPr>
          <w:rFonts w:ascii="Times New Roman" w:hAnsi="Times New Roman" w:cs="Times New Roman"/>
        </w:rPr>
        <w:t xml:space="preserve">abeli B.7 w wierszu (NR_{c,t-1}) widnieje „0.054**” dla TOTAL, ale już tylko „(0.222)”, „(0.045)”, „(0.033)” i „(0.078)” odpowiednio dla COAL, FOREST, OIL i MINERAL, a wiersz (HC_{c,t-1}) dla FOREST zawiera jedynie „(0.293)”. </w:t>
      </w:r>
    </w:p>
    <w:p w:rsidR="00BF038D" w:rsidRDefault="00BF038D" w:rsidP="00BF038D">
      <w:pPr>
        <w:rPr>
          <w:rFonts w:ascii="Times New Roman" w:hAnsi="Times New Roman" w:cs="Times New Roman"/>
        </w:rPr>
      </w:pPr>
      <w:r w:rsidRPr="00267F8C">
        <w:rPr>
          <w:rFonts w:ascii="Times New Roman" w:hAnsi="Times New Roman" w:cs="Times New Roman"/>
        </w:rPr>
        <w:t xml:space="preserve">Tabela B.8 wykazuje analogiczne problemy dla (NR_{c,t-1}), (TECH_{c,t-1}) oraz ((NR </w:t>
      </w:r>
      <w:r w:rsidR="0097596D">
        <w:rPr>
          <w:rFonts w:ascii="Times New Roman" w:hAnsi="Times New Roman" w:cs="Times New Roman"/>
        </w:rPr>
        <w:t>x</w:t>
      </w:r>
      <w:r w:rsidRPr="00267F8C">
        <w:rPr>
          <w:rFonts w:ascii="Times New Roman" w:hAnsi="Times New Roman" w:cs="Times New Roman"/>
        </w:rPr>
        <w:t xml:space="preserve"> TECH)_{c,t-1}). W rezultacie czytelnik nie może odczytać ani znaku, ani wielkości tych współczynników w kilku kolumnach, co ogranicza interpretowalność przedstawionych testów odporności. Istotne byłoby zatem ponowne sięgnięcie do oryginalnych wyników estymacji i ponowne złożenie </w:t>
      </w:r>
      <w:r w:rsidR="0097596D">
        <w:rPr>
          <w:rFonts w:ascii="Times New Roman" w:hAnsi="Times New Roman" w:cs="Times New Roman"/>
        </w:rPr>
        <w:t>T</w:t>
      </w:r>
      <w:r w:rsidRPr="00267F8C">
        <w:rPr>
          <w:rFonts w:ascii="Times New Roman" w:hAnsi="Times New Roman" w:cs="Times New Roman"/>
        </w:rPr>
        <w:t>abel B.7 i B.8 tak, aby każdemu raportowanemu błędowi standardowemu towarzyszył odpowiedni współczynnik, zgodnie z formatem zastosowanym w pozostałych tabelach regresyjnych.</w:t>
      </w:r>
    </w:p>
    <w:p w:rsidR="0097596D" w:rsidRPr="00267F8C" w:rsidRDefault="0097596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97596D" w:rsidRDefault="00BF038D" w:rsidP="00BF038D">
      <w:pPr>
        <w:rPr>
          <w:rFonts w:ascii="Times New Roman" w:hAnsi="Times New Roman" w:cs="Times New Roman"/>
          <w:b/>
        </w:rPr>
      </w:pPr>
      <w:r w:rsidRPr="0097596D">
        <w:rPr>
          <w:rFonts w:ascii="Times New Roman" w:hAnsi="Times New Roman" w:cs="Times New Roman"/>
          <w:b/>
        </w:rPr>
        <w:t>55. Niespójna definicja poziomów istotności w notach do tabel</w:t>
      </w:r>
    </w:p>
    <w:p w:rsidR="00BF038D" w:rsidRPr="00267F8C" w:rsidRDefault="00BF038D" w:rsidP="00BF038D">
      <w:pPr>
        <w:rPr>
          <w:rFonts w:ascii="Times New Roman" w:hAnsi="Times New Roman" w:cs="Times New Roman"/>
        </w:rPr>
      </w:pPr>
      <w:r w:rsidRPr="0097596D">
        <w:rPr>
          <w:rFonts w:ascii="Times New Roman" w:hAnsi="Times New Roman" w:cs="Times New Roman"/>
          <w:b/>
        </w:rPr>
        <w:t>Uwagi:</w:t>
      </w:r>
      <w:r w:rsidRPr="00267F8C">
        <w:rPr>
          <w:rFonts w:ascii="Times New Roman" w:hAnsi="Times New Roman" w:cs="Times New Roman"/>
        </w:rPr>
        <w:t xml:space="preserve"> Noty do </w:t>
      </w:r>
      <w:r w:rsidR="0097596D">
        <w:rPr>
          <w:rFonts w:ascii="Times New Roman" w:hAnsi="Times New Roman" w:cs="Times New Roman"/>
        </w:rPr>
        <w:t>T</w:t>
      </w:r>
      <w:r w:rsidRPr="00267F8C">
        <w:rPr>
          <w:rFonts w:ascii="Times New Roman" w:hAnsi="Times New Roman" w:cs="Times New Roman"/>
        </w:rPr>
        <w:t>abeli B.12 oraz kilku kolejnych tabel wskazują, że</w:t>
      </w:r>
      <w:r w:rsidR="0097596D">
        <w:rPr>
          <w:rFonts w:ascii="Times New Roman" w:hAnsi="Times New Roman" w:cs="Times New Roman"/>
        </w:rPr>
        <w:t xml:space="preserve">, </w:t>
      </w:r>
      <w:r w:rsidR="0097596D" w:rsidRPr="0097596D">
        <w:rPr>
          <w:rFonts w:ascii="Times New Roman" w:hAnsi="Times New Roman" w:cs="Times New Roman"/>
          <w:b/>
          <w:i/>
        </w:rPr>
        <w:t xml:space="preserve">, </w:t>
      </w:r>
      <w:r w:rsidRPr="0097596D">
        <w:rPr>
          <w:rFonts w:ascii="Times New Roman" w:hAnsi="Times New Roman" w:cs="Times New Roman"/>
          <w:b/>
          <w:i/>
        </w:rPr>
        <w:t>i</w:t>
      </w:r>
      <w:r w:rsidRPr="00267F8C">
        <w:rPr>
          <w:rFonts w:ascii="Times New Roman" w:hAnsi="Times New Roman" w:cs="Times New Roman"/>
        </w:rPr>
        <w:t xml:space="preserve">  oznaczają istotność odpowiednio na poziomie 1%, 5% i 10%, podczas gdy same gwiazdki w tabelach są stosowane zgodnie ze standardową konwencją, w której </w:t>
      </w:r>
      <w:r w:rsidR="0097596D">
        <w:rPr>
          <w:rFonts w:ascii="Times New Roman" w:hAnsi="Times New Roman" w:cs="Times New Roman"/>
        </w:rPr>
        <w:t>(</w:t>
      </w:r>
      <w:r w:rsidR="0097596D" w:rsidRPr="0097596D">
        <w:rPr>
          <w:rFonts w:ascii="Times New Roman" w:hAnsi="Times New Roman" w:cs="Times New Roman"/>
          <w:b/>
        </w:rPr>
        <w:t>)</w:t>
      </w:r>
      <w:r w:rsidRPr="00267F8C">
        <w:rPr>
          <w:rFonts w:ascii="Times New Roman" w:hAnsi="Times New Roman" w:cs="Times New Roman"/>
        </w:rPr>
        <w:t xml:space="preserve"> oznacza 1%, </w:t>
      </w:r>
      <w:r w:rsidR="0097596D" w:rsidRPr="0097596D">
        <w:rPr>
          <w:rFonts w:ascii="Times New Roman" w:hAnsi="Times New Roman" w:cs="Times New Roman"/>
          <w:b/>
        </w:rPr>
        <w:t>(</w:t>
      </w:r>
      <w:r w:rsidR="0097596D">
        <w:rPr>
          <w:rFonts w:ascii="Times New Roman" w:hAnsi="Times New Roman" w:cs="Times New Roman"/>
        </w:rPr>
        <w:t>)</w:t>
      </w:r>
      <w:r w:rsidRPr="00267F8C">
        <w:rPr>
          <w:rFonts w:ascii="Times New Roman" w:hAnsi="Times New Roman" w:cs="Times New Roman"/>
        </w:rPr>
        <w:t xml:space="preserve"> oznacza 5%, a </w:t>
      </w:r>
      <w:r w:rsidR="0097596D">
        <w:rPr>
          <w:rFonts w:ascii="Times New Roman" w:hAnsi="Times New Roman" w:cs="Times New Roman"/>
        </w:rPr>
        <w:t>()</w:t>
      </w:r>
      <w:r w:rsidRPr="00267F8C">
        <w:rPr>
          <w:rFonts w:ascii="Times New Roman" w:hAnsi="Times New Roman" w:cs="Times New Roman"/>
        </w:rPr>
        <w:t xml:space="preserve"> oznacza 10%. Przykładowo, w </w:t>
      </w:r>
      <w:r w:rsidR="0097596D">
        <w:rPr>
          <w:rFonts w:ascii="Times New Roman" w:hAnsi="Times New Roman" w:cs="Times New Roman"/>
        </w:rPr>
        <w:t>T</w:t>
      </w:r>
      <w:r w:rsidRPr="00267F8C">
        <w:rPr>
          <w:rFonts w:ascii="Times New Roman" w:hAnsi="Times New Roman" w:cs="Times New Roman"/>
        </w:rPr>
        <w:t>abeli B.12, kolumna (5), zmienna (NR_{c,t-1}) ma (t \</w:t>
      </w:r>
      <w:proofErr w:type="spellStart"/>
      <w:r w:rsidRPr="00267F8C">
        <w:rPr>
          <w:rFonts w:ascii="Times New Roman" w:hAnsi="Times New Roman" w:cs="Times New Roman"/>
        </w:rPr>
        <w:t>approx</w:t>
      </w:r>
      <w:proofErr w:type="spellEnd"/>
      <w:r w:rsidRPr="00267F8C">
        <w:rPr>
          <w:rFonts w:ascii="Times New Roman" w:hAnsi="Times New Roman" w:cs="Times New Roman"/>
        </w:rPr>
        <w:t xml:space="preserve"> -1{,}91) i została oznaczona pojedynczą gwiazdką, co odpowiada istotności na poziomie 10%, a nie 1%; natomiast w kolumnie (1) (y_{c,t-1}) ma (t = -4{,}0) i oznaczona jest ***, co jest zgodne z poziomem 1%. Oznacza to, że objaśnienie w nocie zawiera odwróconą kolejność, podczas gdy same tabele stosują standardowe kodowanie. Legendę należałoby poprawić i ujednolicić we wszystkich tabelach, tak aby przyporządkowanie liczby gwiazdek do poziomów istotności odpowiadało rzeczywiście stosowanej konwencji.</w:t>
      </w:r>
    </w:p>
    <w:p w:rsidR="00BF038D" w:rsidRPr="00267F8C" w:rsidRDefault="00BF038D" w:rsidP="00BF038D">
      <w:pPr>
        <w:rPr>
          <w:rFonts w:ascii="Times New Roman" w:hAnsi="Times New Roman" w:cs="Times New Roman"/>
        </w:rPr>
      </w:pPr>
    </w:p>
    <w:p w:rsidR="00BF038D" w:rsidRPr="0097596D" w:rsidRDefault="00BF038D" w:rsidP="00BF038D">
      <w:pPr>
        <w:rPr>
          <w:rFonts w:ascii="Times New Roman" w:hAnsi="Times New Roman" w:cs="Times New Roman"/>
          <w:b/>
        </w:rPr>
      </w:pPr>
      <w:r w:rsidRPr="0097596D">
        <w:rPr>
          <w:rFonts w:ascii="Times New Roman" w:hAnsi="Times New Roman" w:cs="Times New Roman"/>
          <w:b/>
        </w:rPr>
        <w:lastRenderedPageBreak/>
        <w:t xml:space="preserve">56. Niejednoznaczna skala zmiennych innowacyjności w </w:t>
      </w:r>
      <w:r w:rsidR="0097596D">
        <w:rPr>
          <w:rFonts w:ascii="Times New Roman" w:hAnsi="Times New Roman" w:cs="Times New Roman"/>
          <w:b/>
        </w:rPr>
        <w:t>T</w:t>
      </w:r>
      <w:r w:rsidRPr="0097596D">
        <w:rPr>
          <w:rFonts w:ascii="Times New Roman" w:hAnsi="Times New Roman" w:cs="Times New Roman"/>
          <w:b/>
        </w:rPr>
        <w:t>abeli B.22</w:t>
      </w:r>
    </w:p>
    <w:p w:rsidR="00BF038D" w:rsidRDefault="00BF038D" w:rsidP="00BF038D">
      <w:pPr>
        <w:rPr>
          <w:rFonts w:ascii="Times New Roman" w:hAnsi="Times New Roman" w:cs="Times New Roman"/>
        </w:rPr>
      </w:pPr>
      <w:r w:rsidRPr="0097596D">
        <w:rPr>
          <w:rFonts w:ascii="Times New Roman" w:hAnsi="Times New Roman" w:cs="Times New Roman"/>
          <w:b/>
        </w:rPr>
        <w:t>Uwagi:</w:t>
      </w:r>
      <w:r w:rsidRPr="00267F8C">
        <w:rPr>
          <w:rFonts w:ascii="Times New Roman" w:hAnsi="Times New Roman" w:cs="Times New Roman"/>
        </w:rPr>
        <w:t xml:space="preserve"> Ponieważ regresje zostały przedstawione bez wyraźnego wskazania, czy zmienna PATENTS została przeskalowana, na przykład do tysięcy zgłoszeń, w ujęciu per capita lub po transformacji logarytmicznej, trudno ocenić ekonomiczną wielkość efektów interakcyjnych i porównać je w sensowny sposób z pozostałymi wynikami. Pomocne byłoby doprecyzowanie, w jakich dokładnie jednostkach zmienna PATENTS wchodzi do równania (12), a jeśli zastosowano przeskalowanie, także opisanie tego w nocie do tabeli lub w części poświęconej danym. Nawet jeśli nie zastosowano żadnej transformacji, wyraźne stwierdzenie tego faktu oraz krótka dyskusja implikowanych efektów krańcowych przy reprezentatywnych poziomach patentów uczyniłyby wyniki bardziej interpretowalnymi.</w:t>
      </w:r>
    </w:p>
    <w:p w:rsidR="0097596D" w:rsidRPr="00267F8C" w:rsidRDefault="0097596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97596D" w:rsidRDefault="00BF038D" w:rsidP="00BF038D">
      <w:pPr>
        <w:rPr>
          <w:rFonts w:ascii="Times New Roman" w:hAnsi="Times New Roman" w:cs="Times New Roman"/>
          <w:b/>
        </w:rPr>
      </w:pPr>
      <w:r w:rsidRPr="0097596D">
        <w:rPr>
          <w:rFonts w:ascii="Times New Roman" w:hAnsi="Times New Roman" w:cs="Times New Roman"/>
          <w:b/>
        </w:rPr>
        <w:t xml:space="preserve">57. Niekompletne wyniki w </w:t>
      </w:r>
      <w:r w:rsidR="0097596D">
        <w:rPr>
          <w:rFonts w:ascii="Times New Roman" w:hAnsi="Times New Roman" w:cs="Times New Roman"/>
          <w:b/>
        </w:rPr>
        <w:t>T</w:t>
      </w:r>
      <w:r w:rsidRPr="0097596D">
        <w:rPr>
          <w:rFonts w:ascii="Times New Roman" w:hAnsi="Times New Roman" w:cs="Times New Roman"/>
          <w:b/>
        </w:rPr>
        <w:t>abeli B.18</w:t>
      </w:r>
    </w:p>
    <w:p w:rsidR="00BF038D" w:rsidRPr="00267F8C" w:rsidRDefault="00BF038D" w:rsidP="00BF038D">
      <w:pPr>
        <w:rPr>
          <w:rFonts w:ascii="Times New Roman" w:hAnsi="Times New Roman" w:cs="Times New Roman"/>
        </w:rPr>
      </w:pPr>
      <w:r w:rsidRPr="0097596D">
        <w:rPr>
          <w:rFonts w:ascii="Times New Roman" w:hAnsi="Times New Roman" w:cs="Times New Roman"/>
          <w:b/>
        </w:rPr>
        <w:t>Uwagi:</w:t>
      </w:r>
      <w:r w:rsidRPr="00267F8C">
        <w:rPr>
          <w:rFonts w:ascii="Times New Roman" w:hAnsi="Times New Roman" w:cs="Times New Roman"/>
        </w:rPr>
        <w:t xml:space="preserve"> W </w:t>
      </w:r>
      <w:r w:rsidR="0097596D">
        <w:rPr>
          <w:rFonts w:ascii="Times New Roman" w:hAnsi="Times New Roman" w:cs="Times New Roman"/>
        </w:rPr>
        <w:t>T</w:t>
      </w:r>
      <w:r w:rsidRPr="00267F8C">
        <w:rPr>
          <w:rFonts w:ascii="Times New Roman" w:hAnsi="Times New Roman" w:cs="Times New Roman"/>
        </w:rPr>
        <w:t>abeli B.18 kilka pozycji wydaje się być niekompletnie przedstawionych.</w:t>
      </w:r>
    </w:p>
    <w:p w:rsidR="00BF038D" w:rsidRDefault="00BF038D" w:rsidP="00BF038D">
      <w:pPr>
        <w:rPr>
          <w:rFonts w:ascii="Times New Roman" w:hAnsi="Times New Roman" w:cs="Times New Roman"/>
        </w:rPr>
      </w:pPr>
      <w:r w:rsidRPr="00267F8C">
        <w:rPr>
          <w:rFonts w:ascii="Times New Roman" w:hAnsi="Times New Roman" w:cs="Times New Roman"/>
        </w:rPr>
        <w:t xml:space="preserve">Takie częściowe raportowanie utrudnia ocenę precyzji kilku oszacowań i rodzi niepewność co do tego, czy niektóre </w:t>
      </w:r>
      <w:proofErr w:type="spellStart"/>
      <w:r w:rsidRPr="00267F8C">
        <w:rPr>
          <w:rFonts w:ascii="Times New Roman" w:hAnsi="Times New Roman" w:cs="Times New Roman"/>
        </w:rPr>
        <w:t>regresory</w:t>
      </w:r>
      <w:proofErr w:type="spellEnd"/>
      <w:r w:rsidRPr="00267F8C">
        <w:rPr>
          <w:rFonts w:ascii="Times New Roman" w:hAnsi="Times New Roman" w:cs="Times New Roman"/>
        </w:rPr>
        <w:t xml:space="preserve"> zostały pominięte w poszczególnych kolumnach celowo, czy też po prostu nie zostały wykazane. Istotne byłoby ponowne wygenerowanie </w:t>
      </w:r>
      <w:r w:rsidR="0097596D">
        <w:rPr>
          <w:rFonts w:ascii="Times New Roman" w:hAnsi="Times New Roman" w:cs="Times New Roman"/>
        </w:rPr>
        <w:t>T</w:t>
      </w:r>
      <w:r w:rsidRPr="00267F8C">
        <w:rPr>
          <w:rFonts w:ascii="Times New Roman" w:hAnsi="Times New Roman" w:cs="Times New Roman"/>
        </w:rPr>
        <w:t xml:space="preserve">abeli B.18 tak, aby zawierała współczynniki oraz odporne błędy standardowe dla wszystkich </w:t>
      </w:r>
      <w:proofErr w:type="spellStart"/>
      <w:r w:rsidRPr="00267F8C">
        <w:rPr>
          <w:rFonts w:ascii="Times New Roman" w:hAnsi="Times New Roman" w:cs="Times New Roman"/>
        </w:rPr>
        <w:t>regresorów</w:t>
      </w:r>
      <w:proofErr w:type="spellEnd"/>
      <w:r w:rsidRPr="00267F8C">
        <w:rPr>
          <w:rFonts w:ascii="Times New Roman" w:hAnsi="Times New Roman" w:cs="Times New Roman"/>
        </w:rPr>
        <w:t xml:space="preserve"> w każdej kolumnie, bądź też wyraźne wyjaśnienie każdego zamierzonego wyłączenia zmiennych, takich jak (NEWST_{</w:t>
      </w:r>
      <w:proofErr w:type="spellStart"/>
      <w:r w:rsidRPr="00267F8C">
        <w:rPr>
          <w:rFonts w:ascii="Times New Roman" w:hAnsi="Times New Roman" w:cs="Times New Roman"/>
        </w:rPr>
        <w:t>ct</w:t>
      </w:r>
      <w:proofErr w:type="spellEnd"/>
      <w:r w:rsidRPr="00267F8C">
        <w:rPr>
          <w:rFonts w:ascii="Times New Roman" w:hAnsi="Times New Roman" w:cs="Times New Roman"/>
        </w:rPr>
        <w:t>}) czy (</w:t>
      </w:r>
      <w:proofErr w:type="spellStart"/>
      <w:r w:rsidRPr="00267F8C">
        <w:rPr>
          <w:rFonts w:ascii="Times New Roman" w:hAnsi="Times New Roman" w:cs="Times New Roman"/>
        </w:rPr>
        <w:t>P_t</w:t>
      </w:r>
      <w:proofErr w:type="spellEnd"/>
      <w:r w:rsidRPr="00267F8C">
        <w:rPr>
          <w:rFonts w:ascii="Times New Roman" w:hAnsi="Times New Roman" w:cs="Times New Roman"/>
        </w:rPr>
        <w:t>^{NR}).</w:t>
      </w:r>
    </w:p>
    <w:p w:rsidR="0097596D" w:rsidRPr="00267F8C" w:rsidRDefault="0097596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97596D" w:rsidRDefault="00BF038D" w:rsidP="00BF038D">
      <w:pPr>
        <w:rPr>
          <w:rFonts w:ascii="Times New Roman" w:hAnsi="Times New Roman" w:cs="Times New Roman"/>
          <w:b/>
        </w:rPr>
      </w:pPr>
      <w:r w:rsidRPr="0097596D">
        <w:rPr>
          <w:rFonts w:ascii="Times New Roman" w:hAnsi="Times New Roman" w:cs="Times New Roman"/>
          <w:b/>
        </w:rPr>
        <w:t xml:space="preserve">58. Pominięcie kontrolnej zmiennej poziomu rozwoju w </w:t>
      </w:r>
      <w:r w:rsidR="0097596D">
        <w:rPr>
          <w:rFonts w:ascii="Times New Roman" w:hAnsi="Times New Roman" w:cs="Times New Roman"/>
          <w:b/>
        </w:rPr>
        <w:t>T</w:t>
      </w:r>
      <w:r w:rsidRPr="0097596D">
        <w:rPr>
          <w:rFonts w:ascii="Times New Roman" w:hAnsi="Times New Roman" w:cs="Times New Roman"/>
          <w:b/>
        </w:rPr>
        <w:t>abeli B.29</w:t>
      </w:r>
    </w:p>
    <w:p w:rsidR="00BF038D" w:rsidRDefault="00BF038D" w:rsidP="00BF038D">
      <w:pPr>
        <w:rPr>
          <w:rFonts w:ascii="Times New Roman" w:hAnsi="Times New Roman" w:cs="Times New Roman"/>
        </w:rPr>
      </w:pPr>
      <w:r w:rsidRPr="0097596D">
        <w:rPr>
          <w:rFonts w:ascii="Times New Roman" w:hAnsi="Times New Roman" w:cs="Times New Roman"/>
          <w:b/>
        </w:rPr>
        <w:t>Uwagi:</w:t>
      </w:r>
      <w:r w:rsidRPr="00267F8C">
        <w:rPr>
          <w:rFonts w:ascii="Times New Roman" w:hAnsi="Times New Roman" w:cs="Times New Roman"/>
        </w:rPr>
        <w:t xml:space="preserve"> Specyfikacja leżąca u podstaw równania (12) obejmuje opóźniony poziom rozwoju,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DEV_{c,t-1}), i zmienna ta jest wykorzystywana oraz instrumentowana w wynikach głównych, przedstawionych w </w:t>
      </w:r>
      <w:r w:rsidR="0097596D">
        <w:rPr>
          <w:rFonts w:ascii="Times New Roman" w:hAnsi="Times New Roman" w:cs="Times New Roman"/>
        </w:rPr>
        <w:t>T</w:t>
      </w:r>
      <w:r w:rsidRPr="00267F8C">
        <w:rPr>
          <w:rFonts w:ascii="Times New Roman" w:hAnsi="Times New Roman" w:cs="Times New Roman"/>
        </w:rPr>
        <w:t xml:space="preserve">abeli 5.6. W </w:t>
      </w:r>
      <w:r w:rsidR="0097596D">
        <w:rPr>
          <w:rFonts w:ascii="Times New Roman" w:hAnsi="Times New Roman" w:cs="Times New Roman"/>
        </w:rPr>
        <w:t>T</w:t>
      </w:r>
      <w:r w:rsidRPr="00267F8C">
        <w:rPr>
          <w:rFonts w:ascii="Times New Roman" w:hAnsi="Times New Roman" w:cs="Times New Roman"/>
        </w:rPr>
        <w:t>abeli B.29, gdzie to samo równanie estymowane jest osobno dla krajów rozwiniętych i rozwijających się,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DEV_{c,t-1}) nie pojawia się w żadnej z dziesięciu kolumn, a noty nie wskazują, by specyfikacja została zmieniona. Ponieważ poziom rozwoju jest zarówno teoretycznie istotny dla dywersyfikacji eksportu, jak i empirycznie istotny w próbie pełnej, jego usunięcie w regresjach dla </w:t>
      </w:r>
      <w:proofErr w:type="spellStart"/>
      <w:r w:rsidRPr="00267F8C">
        <w:rPr>
          <w:rFonts w:ascii="Times New Roman" w:hAnsi="Times New Roman" w:cs="Times New Roman"/>
        </w:rPr>
        <w:t>podprób</w:t>
      </w:r>
      <w:proofErr w:type="spellEnd"/>
      <w:r w:rsidRPr="00267F8C">
        <w:rPr>
          <w:rFonts w:ascii="Times New Roman" w:hAnsi="Times New Roman" w:cs="Times New Roman"/>
        </w:rPr>
        <w:t xml:space="preserve"> bez wyjaśnienia utrudnia ocenę, czy różnice między </w:t>
      </w:r>
      <w:r w:rsidR="0097596D">
        <w:rPr>
          <w:rFonts w:ascii="Times New Roman" w:hAnsi="Times New Roman" w:cs="Times New Roman"/>
        </w:rPr>
        <w:t>T</w:t>
      </w:r>
      <w:r w:rsidRPr="00267F8C">
        <w:rPr>
          <w:rFonts w:ascii="Times New Roman" w:hAnsi="Times New Roman" w:cs="Times New Roman"/>
        </w:rPr>
        <w:t xml:space="preserve">abelą 5.6 a </w:t>
      </w:r>
      <w:r w:rsidR="0097596D">
        <w:rPr>
          <w:rFonts w:ascii="Times New Roman" w:hAnsi="Times New Roman" w:cs="Times New Roman"/>
        </w:rPr>
        <w:t>T</w:t>
      </w:r>
      <w:r w:rsidRPr="00267F8C">
        <w:rPr>
          <w:rFonts w:ascii="Times New Roman" w:hAnsi="Times New Roman" w:cs="Times New Roman"/>
        </w:rPr>
        <w:t xml:space="preserve">abelą B.29 odzwierciedlają heterogeniczność próby, czy raczej zmianę zestawu zmiennych kontrolnych. Pomocne byłoby albo ponowne oszacowanie </w:t>
      </w:r>
      <w:r w:rsidR="0097596D">
        <w:rPr>
          <w:rFonts w:ascii="Times New Roman" w:hAnsi="Times New Roman" w:cs="Times New Roman"/>
        </w:rPr>
        <w:t>T</w:t>
      </w:r>
      <w:r w:rsidRPr="00267F8C">
        <w:rPr>
          <w:rFonts w:ascii="Times New Roman" w:hAnsi="Times New Roman" w:cs="Times New Roman"/>
        </w:rPr>
        <w:t>abeli B.29 z uwzględnieniem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DEV_{c,t-1}), albo wyjaśnienie, dlaczego zmienna ta została pominięta, oraz — o ile to możliwe — komentarz, jak jej uwzględnienie wpłynęłoby na raportowane współczynniki przy (NR_{</w:t>
      </w:r>
      <w:proofErr w:type="spellStart"/>
      <w:r w:rsidRPr="00267F8C">
        <w:rPr>
          <w:rFonts w:ascii="Times New Roman" w:hAnsi="Times New Roman" w:cs="Times New Roman"/>
        </w:rPr>
        <w:t>ct</w:t>
      </w:r>
      <w:proofErr w:type="spellEnd"/>
      <w:r w:rsidRPr="00267F8C">
        <w:rPr>
          <w:rFonts w:ascii="Times New Roman" w:hAnsi="Times New Roman" w:cs="Times New Roman"/>
        </w:rPr>
        <w:t>}), (INNOV_{</w:t>
      </w:r>
      <w:proofErr w:type="spellStart"/>
      <w:r w:rsidRPr="00267F8C">
        <w:rPr>
          <w:rFonts w:ascii="Times New Roman" w:hAnsi="Times New Roman" w:cs="Times New Roman"/>
        </w:rPr>
        <w:t>ct</w:t>
      </w:r>
      <w:proofErr w:type="spellEnd"/>
      <w:r w:rsidRPr="00267F8C">
        <w:rPr>
          <w:rFonts w:ascii="Times New Roman" w:hAnsi="Times New Roman" w:cs="Times New Roman"/>
        </w:rPr>
        <w:t>}) i ((NR \</w:t>
      </w:r>
      <w:proofErr w:type="spellStart"/>
      <w:r w:rsidRPr="00267F8C">
        <w:rPr>
          <w:rFonts w:ascii="Times New Roman" w:hAnsi="Times New Roman" w:cs="Times New Roman"/>
        </w:rPr>
        <w:t>times</w:t>
      </w:r>
      <w:proofErr w:type="spellEnd"/>
      <w:r w:rsidRPr="00267F8C">
        <w:rPr>
          <w:rFonts w:ascii="Times New Roman" w:hAnsi="Times New Roman" w:cs="Times New Roman"/>
        </w:rPr>
        <w:t xml:space="preserve"> INNOV)_{</w:t>
      </w:r>
      <w:proofErr w:type="spellStart"/>
      <w:r w:rsidRPr="00267F8C">
        <w:rPr>
          <w:rFonts w:ascii="Times New Roman" w:hAnsi="Times New Roman" w:cs="Times New Roman"/>
        </w:rPr>
        <w:t>ct</w:t>
      </w:r>
      <w:proofErr w:type="spellEnd"/>
      <w:r w:rsidRPr="00267F8C">
        <w:rPr>
          <w:rFonts w:ascii="Times New Roman" w:hAnsi="Times New Roman" w:cs="Times New Roman"/>
        </w:rPr>
        <w:t>}).</w:t>
      </w:r>
    </w:p>
    <w:p w:rsidR="0097596D" w:rsidRPr="00267F8C" w:rsidRDefault="0097596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97596D" w:rsidRDefault="00BF038D" w:rsidP="00BF038D">
      <w:pPr>
        <w:rPr>
          <w:rFonts w:ascii="Times New Roman" w:hAnsi="Times New Roman" w:cs="Times New Roman"/>
          <w:b/>
        </w:rPr>
      </w:pPr>
      <w:r w:rsidRPr="0097596D">
        <w:rPr>
          <w:rFonts w:ascii="Times New Roman" w:hAnsi="Times New Roman" w:cs="Times New Roman"/>
          <w:b/>
        </w:rPr>
        <w:t xml:space="preserve">59. Nieprecyzyjne przedstawienie warunków </w:t>
      </w:r>
      <w:proofErr w:type="spellStart"/>
      <w:r w:rsidRPr="0097596D">
        <w:rPr>
          <w:rFonts w:ascii="Times New Roman" w:hAnsi="Times New Roman" w:cs="Times New Roman"/>
          <w:b/>
        </w:rPr>
        <w:t>Inady</w:t>
      </w:r>
      <w:proofErr w:type="spellEnd"/>
      <w:r w:rsidRPr="0097596D">
        <w:rPr>
          <w:rFonts w:ascii="Times New Roman" w:hAnsi="Times New Roman" w:cs="Times New Roman"/>
          <w:b/>
        </w:rPr>
        <w:t xml:space="preserve"> w przypisie 16</w:t>
      </w:r>
    </w:p>
    <w:p w:rsidR="00BF038D" w:rsidRDefault="00BF038D" w:rsidP="00BF038D">
      <w:pPr>
        <w:rPr>
          <w:rFonts w:ascii="Times New Roman" w:hAnsi="Times New Roman" w:cs="Times New Roman"/>
        </w:rPr>
      </w:pPr>
      <w:r w:rsidRPr="0097596D">
        <w:rPr>
          <w:rFonts w:ascii="Times New Roman" w:hAnsi="Times New Roman" w:cs="Times New Roman"/>
          <w:b/>
        </w:rPr>
        <w:t>Cytat:</w:t>
      </w:r>
      <w:r w:rsidRPr="00267F8C">
        <w:rPr>
          <w:rFonts w:ascii="Times New Roman" w:hAnsi="Times New Roman" w:cs="Times New Roman"/>
        </w:rPr>
        <w:t xml:space="preserve"> &gt; Oprócz tych założeń funkcja produkcji </w:t>
      </w:r>
      <w:proofErr w:type="spellStart"/>
      <w:r w:rsidRPr="00267F8C">
        <w:rPr>
          <w:rFonts w:ascii="Times New Roman" w:hAnsi="Times New Roman" w:cs="Times New Roman"/>
        </w:rPr>
        <w:t>Cobba</w:t>
      </w:r>
      <w:proofErr w:type="spellEnd"/>
      <w:r w:rsidRPr="00267F8C">
        <w:rPr>
          <w:rFonts w:ascii="Times New Roman" w:hAnsi="Times New Roman" w:cs="Times New Roman"/>
        </w:rPr>
        <w:t xml:space="preserve">-Douglasa spełnia tzw. warunki </w:t>
      </w:r>
      <w:proofErr w:type="spellStart"/>
      <w:r w:rsidRPr="00267F8C">
        <w:rPr>
          <w:rFonts w:ascii="Times New Roman" w:hAnsi="Times New Roman" w:cs="Times New Roman"/>
        </w:rPr>
        <w:t>Inady</w:t>
      </w:r>
      <w:proofErr w:type="spellEnd"/>
      <w:r w:rsidRPr="00267F8C">
        <w:rPr>
          <w:rFonts w:ascii="Times New Roman" w:hAnsi="Times New Roman" w:cs="Times New Roman"/>
        </w:rPr>
        <w:t>, które definiują kształt funkcji o dobrze zachowujących się własnościach w modelach ekonomicznych (</w:t>
      </w:r>
      <w:proofErr w:type="spellStart"/>
      <w:r w:rsidRPr="00267F8C">
        <w:rPr>
          <w:rFonts w:ascii="Times New Roman" w:hAnsi="Times New Roman" w:cs="Times New Roman"/>
        </w:rPr>
        <w:t>Inada</w:t>
      </w:r>
      <w:proofErr w:type="spellEnd"/>
      <w:r w:rsidRPr="00267F8C">
        <w:rPr>
          <w:rFonts w:ascii="Times New Roman" w:hAnsi="Times New Roman" w:cs="Times New Roman"/>
        </w:rPr>
        <w:t xml:space="preserve">, 1963). Warunki te są następujące: (1) funkcja wykazuje dodatnie i malejące produkty krańcowe względem każdego czynnika, (2) funkcja wykazuje stałe efekty skali, oraz (3) produkt krańcowy kapitału lub pracy dąży do nieskończoności, gdy kapitał lub praca dążą do zera, i dąży do zera, gdy kapitał lub praca dążą do nieskończoności. Wszystkie neoklasyczne funkcje produkcji muszą spełniać wszystkie warunki </w:t>
      </w:r>
      <w:proofErr w:type="spellStart"/>
      <w:r w:rsidRPr="00267F8C">
        <w:rPr>
          <w:rFonts w:ascii="Times New Roman" w:hAnsi="Times New Roman" w:cs="Times New Roman"/>
        </w:rPr>
        <w:t>Inady</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Campante</w:t>
      </w:r>
      <w:proofErr w:type="spellEnd"/>
      <w:r w:rsidRPr="00267F8C">
        <w:rPr>
          <w:rFonts w:ascii="Times New Roman" w:hAnsi="Times New Roman" w:cs="Times New Roman"/>
        </w:rPr>
        <w:t xml:space="preserve"> i in., 2021).</w:t>
      </w:r>
    </w:p>
    <w:p w:rsidR="0097596D" w:rsidRPr="00267F8C" w:rsidRDefault="0097596D" w:rsidP="00BF038D">
      <w:pPr>
        <w:rPr>
          <w:rFonts w:ascii="Times New Roman" w:hAnsi="Times New Roman" w:cs="Times New Roman"/>
        </w:rPr>
      </w:pPr>
    </w:p>
    <w:p w:rsidR="00BF038D" w:rsidRPr="00267F8C" w:rsidRDefault="00BF038D" w:rsidP="00BF038D">
      <w:pPr>
        <w:rPr>
          <w:rFonts w:ascii="Times New Roman" w:hAnsi="Times New Roman" w:cs="Times New Roman"/>
        </w:rPr>
      </w:pPr>
      <w:r w:rsidRPr="0097596D">
        <w:rPr>
          <w:rFonts w:ascii="Times New Roman" w:hAnsi="Times New Roman" w:cs="Times New Roman"/>
          <w:b/>
        </w:rPr>
        <w:t>Uwagi:</w:t>
      </w:r>
      <w:r w:rsidRPr="00267F8C">
        <w:rPr>
          <w:rFonts w:ascii="Times New Roman" w:hAnsi="Times New Roman" w:cs="Times New Roman"/>
        </w:rPr>
        <w:t xml:space="preserve"> Przypis 16 obecnie traktuje kilka różnych założeń tak, jakby wszystkie należały do „warunków </w:t>
      </w:r>
      <w:proofErr w:type="spellStart"/>
      <w:r w:rsidRPr="00267F8C">
        <w:rPr>
          <w:rFonts w:ascii="Times New Roman" w:hAnsi="Times New Roman" w:cs="Times New Roman"/>
        </w:rPr>
        <w:t>Inady</w:t>
      </w:r>
      <w:proofErr w:type="spellEnd"/>
      <w:r w:rsidRPr="00267F8C">
        <w:rPr>
          <w:rFonts w:ascii="Times New Roman" w:hAnsi="Times New Roman" w:cs="Times New Roman"/>
        </w:rPr>
        <w:t xml:space="preserve">”. W standardowym ujęciu „warunki </w:t>
      </w:r>
      <w:proofErr w:type="spellStart"/>
      <w:r w:rsidRPr="00267F8C">
        <w:rPr>
          <w:rFonts w:ascii="Times New Roman" w:hAnsi="Times New Roman" w:cs="Times New Roman"/>
        </w:rPr>
        <w:t>Inady</w:t>
      </w:r>
      <w:proofErr w:type="spellEnd"/>
      <w:r w:rsidRPr="00267F8C">
        <w:rPr>
          <w:rFonts w:ascii="Times New Roman" w:hAnsi="Times New Roman" w:cs="Times New Roman"/>
        </w:rPr>
        <w:t xml:space="preserve">” odnoszą się konkretnie do </w:t>
      </w:r>
      <w:r w:rsidRPr="00267F8C">
        <w:rPr>
          <w:rFonts w:ascii="Times New Roman" w:hAnsi="Times New Roman" w:cs="Times New Roman"/>
        </w:rPr>
        <w:lastRenderedPageBreak/>
        <w:t xml:space="preserve">granicznego zachowania produktów krańcowych. Dodatnie i malejące produkty krańcowe oraz stałe efekty skali są typowymi założeniami neoklasycznymi, lecz pojęciowo pozostają odrębne od granicznych warunków </w:t>
      </w:r>
      <w:proofErr w:type="spellStart"/>
      <w:r w:rsidRPr="00267F8C">
        <w:rPr>
          <w:rFonts w:ascii="Times New Roman" w:hAnsi="Times New Roman" w:cs="Times New Roman"/>
        </w:rPr>
        <w:t>Inady</w:t>
      </w:r>
      <w:proofErr w:type="spellEnd"/>
      <w:r w:rsidRPr="00267F8C">
        <w:rPr>
          <w:rFonts w:ascii="Times New Roman" w:hAnsi="Times New Roman" w:cs="Times New Roman"/>
        </w:rPr>
        <w:t xml:space="preserve"> i zwykle same nie są określane mianem warunków </w:t>
      </w:r>
      <w:proofErr w:type="spellStart"/>
      <w:r w:rsidRPr="00267F8C">
        <w:rPr>
          <w:rFonts w:ascii="Times New Roman" w:hAnsi="Times New Roman" w:cs="Times New Roman"/>
        </w:rPr>
        <w:t>Inady</w:t>
      </w:r>
      <w:proofErr w:type="spellEnd"/>
      <w:r w:rsidRPr="00267F8C">
        <w:rPr>
          <w:rFonts w:ascii="Times New Roman" w:hAnsi="Times New Roman" w:cs="Times New Roman"/>
        </w:rPr>
        <w:t>.</w:t>
      </w:r>
    </w:p>
    <w:p w:rsidR="00BF038D" w:rsidRDefault="00BF038D" w:rsidP="00BF038D">
      <w:pPr>
        <w:rPr>
          <w:rFonts w:ascii="Times New Roman" w:hAnsi="Times New Roman" w:cs="Times New Roman"/>
        </w:rPr>
      </w:pPr>
      <w:r w:rsidRPr="00267F8C">
        <w:rPr>
          <w:rFonts w:ascii="Times New Roman" w:hAnsi="Times New Roman" w:cs="Times New Roman"/>
        </w:rPr>
        <w:t xml:space="preserve">Również zdanie „Wszystkie neoklasyczne funkcje produkcji muszą spełniać wszystkie warunki </w:t>
      </w:r>
      <w:proofErr w:type="spellStart"/>
      <w:r w:rsidRPr="00267F8C">
        <w:rPr>
          <w:rFonts w:ascii="Times New Roman" w:hAnsi="Times New Roman" w:cs="Times New Roman"/>
        </w:rPr>
        <w:t>Inady</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Campante</w:t>
      </w:r>
      <w:proofErr w:type="spellEnd"/>
      <w:r w:rsidRPr="00267F8C">
        <w:rPr>
          <w:rFonts w:ascii="Times New Roman" w:hAnsi="Times New Roman" w:cs="Times New Roman"/>
        </w:rPr>
        <w:t xml:space="preserve"> i in., 2021)” wydaje się zbyt mocne, jeśli rozumieć je jako twierdzenie dotyczące szerszej literatury, w której wiele „neoklasycznych” funkcji produkcji stosowanych w makroekonomii i ekonomii handlu rezygnuje z granicznego zachowania wymaganego przez warunki </w:t>
      </w:r>
      <w:proofErr w:type="spellStart"/>
      <w:r w:rsidRPr="00267F8C">
        <w:rPr>
          <w:rFonts w:ascii="Times New Roman" w:hAnsi="Times New Roman" w:cs="Times New Roman"/>
        </w:rPr>
        <w:t>Inady</w:t>
      </w:r>
      <w:proofErr w:type="spellEnd"/>
      <w:r w:rsidRPr="00267F8C">
        <w:rPr>
          <w:rFonts w:ascii="Times New Roman" w:hAnsi="Times New Roman" w:cs="Times New Roman"/>
        </w:rPr>
        <w:t xml:space="preserve">. Jaśniejsze byłoby rozróżnienie między: (i) standardowymi neoklasycznymi ograniczeniami dotyczącymi kształtu funkcji, takimi jak stałe efekty skali oraz dodatnie i malejące produkty krańcowe, a (ii) granicznymi warunkami </w:t>
      </w:r>
      <w:proofErr w:type="spellStart"/>
      <w:r w:rsidRPr="00267F8C">
        <w:rPr>
          <w:rFonts w:ascii="Times New Roman" w:hAnsi="Times New Roman" w:cs="Times New Roman"/>
        </w:rPr>
        <w:t>Inady</w:t>
      </w:r>
      <w:proofErr w:type="spellEnd"/>
      <w:r w:rsidRPr="00267F8C">
        <w:rPr>
          <w:rFonts w:ascii="Times New Roman" w:hAnsi="Times New Roman" w:cs="Times New Roman"/>
        </w:rPr>
        <w:t>, oraz — jeśli to pożądane — explicite zaznaczenie, że w tej rozprawie przyjmuje się, iż „neoklasyczne funkcje produkcji” spełniają oba zestawy własności.</w:t>
      </w:r>
    </w:p>
    <w:p w:rsidR="0097596D" w:rsidRPr="00267F8C" w:rsidRDefault="0097596D"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0451E4" w:rsidRDefault="00BF038D" w:rsidP="00BF038D">
      <w:pPr>
        <w:rPr>
          <w:rFonts w:ascii="Times New Roman" w:hAnsi="Times New Roman" w:cs="Times New Roman"/>
          <w:b/>
        </w:rPr>
      </w:pPr>
      <w:r w:rsidRPr="000451E4">
        <w:rPr>
          <w:rFonts w:ascii="Times New Roman" w:hAnsi="Times New Roman" w:cs="Times New Roman"/>
          <w:b/>
        </w:rPr>
        <w:t xml:space="preserve">60. Umieszczenie kluczowego kontrargumentu w przypisie, </w:t>
      </w:r>
      <w:r w:rsidR="000451E4">
        <w:rPr>
          <w:rFonts w:ascii="Times New Roman" w:hAnsi="Times New Roman" w:cs="Times New Roman"/>
          <w:b/>
        </w:rPr>
        <w:t>S</w:t>
      </w:r>
      <w:r w:rsidRPr="000451E4">
        <w:rPr>
          <w:rFonts w:ascii="Times New Roman" w:hAnsi="Times New Roman" w:cs="Times New Roman"/>
          <w:b/>
        </w:rPr>
        <w:t>ekcja 2.2</w:t>
      </w:r>
    </w:p>
    <w:p w:rsidR="00BF038D" w:rsidRDefault="00BF038D" w:rsidP="00BF038D">
      <w:pPr>
        <w:rPr>
          <w:rFonts w:ascii="Times New Roman" w:hAnsi="Times New Roman" w:cs="Times New Roman"/>
        </w:rPr>
      </w:pPr>
      <w:r w:rsidRPr="000451E4">
        <w:rPr>
          <w:rFonts w:ascii="Times New Roman" w:hAnsi="Times New Roman" w:cs="Times New Roman"/>
          <w:b/>
        </w:rPr>
        <w:t>Cytat:</w:t>
      </w:r>
      <w:r w:rsidRPr="00267F8C">
        <w:rPr>
          <w:rFonts w:ascii="Times New Roman" w:hAnsi="Times New Roman" w:cs="Times New Roman"/>
        </w:rPr>
        <w:t xml:space="preserve"> &gt; Dodatkowo Ross (2001) pokazuje, że eksport ropy jest silnie powiązany z rządami autorytarnymi, a efekt ten ma znaczenie we wszystkich krajach zależnych od zasobów, nie tylko wśród bliskowschodnich eksporterów ropy³</w:t>
      </w:r>
      <w:r w:rsidRPr="00267F8C">
        <w:rPr>
          <w:rFonts w:ascii="Cambria Math" w:hAnsi="Cambria Math" w:cs="Cambria Math"/>
        </w:rPr>
        <w:t>⁸</w:t>
      </w:r>
      <w:r w:rsidRPr="00267F8C">
        <w:rPr>
          <w:rFonts w:ascii="Times New Roman" w:hAnsi="Times New Roman" w:cs="Times New Roman"/>
        </w:rPr>
        <w:t>.</w:t>
      </w:r>
    </w:p>
    <w:p w:rsidR="000451E4" w:rsidRPr="00267F8C" w:rsidRDefault="000451E4" w:rsidP="00BF038D">
      <w:pPr>
        <w:rPr>
          <w:rFonts w:ascii="Times New Roman" w:hAnsi="Times New Roman" w:cs="Times New Roman"/>
        </w:rPr>
      </w:pPr>
    </w:p>
    <w:p w:rsidR="00BF038D" w:rsidRDefault="00BF038D" w:rsidP="00BF038D">
      <w:pPr>
        <w:rPr>
          <w:rFonts w:ascii="Times New Roman" w:hAnsi="Times New Roman" w:cs="Times New Roman"/>
        </w:rPr>
      </w:pPr>
      <w:r w:rsidRPr="000451E4">
        <w:rPr>
          <w:rFonts w:ascii="Times New Roman" w:hAnsi="Times New Roman" w:cs="Times New Roman"/>
          <w:b/>
        </w:rPr>
        <w:t>Uwagi:</w:t>
      </w:r>
      <w:r w:rsidRPr="00267F8C">
        <w:rPr>
          <w:rFonts w:ascii="Times New Roman" w:hAnsi="Times New Roman" w:cs="Times New Roman"/>
        </w:rPr>
        <w:t xml:space="preserve"> Zdanie „Dodatkowo Ross (2001) pokazuje, że eksport ropy jest silnie powiązany z rządami autorytarnymi, a efekt ten ma znaczenie we wszystkich krajach zależnych od zasobów, nie tylko wśród bliskowschodnich eksporterów ropy³</w:t>
      </w:r>
      <w:r w:rsidRPr="00267F8C">
        <w:rPr>
          <w:rFonts w:ascii="Cambria Math" w:hAnsi="Cambria Math" w:cs="Cambria Math"/>
        </w:rPr>
        <w:t>⁸</w:t>
      </w:r>
      <w:r w:rsidRPr="00267F8C">
        <w:rPr>
          <w:rFonts w:ascii="Times New Roman" w:hAnsi="Times New Roman" w:cs="Times New Roman"/>
        </w:rPr>
        <w:t xml:space="preserve">” przedstawia wynik Rossa w dość kategoryczny sposób, a dopiero dołączony przypis wyjaśnia, że późniejsze badania, w szczególności </w:t>
      </w:r>
      <w:proofErr w:type="spellStart"/>
      <w:r w:rsidRPr="00267F8C">
        <w:rPr>
          <w:rFonts w:ascii="Times New Roman" w:hAnsi="Times New Roman" w:cs="Times New Roman"/>
        </w:rPr>
        <w:t>Oskarsson</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Ottosen</w:t>
      </w:r>
      <w:proofErr w:type="spellEnd"/>
      <w:r w:rsidRPr="00267F8C">
        <w:rPr>
          <w:rFonts w:ascii="Times New Roman" w:hAnsi="Times New Roman" w:cs="Times New Roman"/>
        </w:rPr>
        <w:t xml:space="preserve"> (2010), nie znajdują potwierdzenia dla tego efektu i uznają tę teorię za nierozstrzygniętą. Wprowadzenie krótkiego sygnału tej kontrowersji do tekstu głównego, na przykład poprzez złagodzenie sformułowania na „przedstawia dowody, że…” oraz zaznaczenie, iż ustalenia Rossa były później kwestionowane, lepiej odzwierciedlałoby stan literatury. Pomocne byłoby również dopilnowanie, aby początkowa lista cytowań dotyczących odwrotnej przyczynowości nie sugerowała implicite, że </w:t>
      </w:r>
      <w:proofErr w:type="spellStart"/>
      <w:r w:rsidRPr="00267F8C">
        <w:rPr>
          <w:rFonts w:ascii="Times New Roman" w:hAnsi="Times New Roman" w:cs="Times New Roman"/>
        </w:rPr>
        <w:t>Oskarsson</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Ottosen</w:t>
      </w:r>
      <w:proofErr w:type="spellEnd"/>
      <w:r w:rsidRPr="00267F8C">
        <w:rPr>
          <w:rFonts w:ascii="Times New Roman" w:hAnsi="Times New Roman" w:cs="Times New Roman"/>
        </w:rPr>
        <w:t xml:space="preserve"> (2010) należą do badań potwierdzających polityczny wymiar klątwy surowcowej, skoro później opisuje się ich jako znajdujących się „na drugim krańcu spektrum”.</w:t>
      </w:r>
    </w:p>
    <w:p w:rsidR="000451E4" w:rsidRPr="00267F8C" w:rsidRDefault="000451E4"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0451E4" w:rsidRDefault="00BF038D" w:rsidP="00BF038D">
      <w:pPr>
        <w:rPr>
          <w:rFonts w:ascii="Times New Roman" w:hAnsi="Times New Roman" w:cs="Times New Roman"/>
          <w:b/>
        </w:rPr>
      </w:pPr>
      <w:r w:rsidRPr="000451E4">
        <w:rPr>
          <w:rFonts w:ascii="Times New Roman" w:hAnsi="Times New Roman" w:cs="Times New Roman"/>
          <w:b/>
        </w:rPr>
        <w:t xml:space="preserve">61. Definicja </w:t>
      </w:r>
      <w:r w:rsidR="000451E4">
        <w:rPr>
          <w:rFonts w:ascii="Times New Roman" w:hAnsi="Times New Roman" w:cs="Times New Roman"/>
          <w:b/>
        </w:rPr>
        <w:t>S</w:t>
      </w:r>
      <w:r w:rsidRPr="000451E4">
        <w:rPr>
          <w:rFonts w:ascii="Times New Roman" w:hAnsi="Times New Roman" w:cs="Times New Roman"/>
          <w:b/>
        </w:rPr>
        <w:t xml:space="preserve">ekularnej </w:t>
      </w:r>
      <w:r w:rsidR="000451E4">
        <w:rPr>
          <w:rFonts w:ascii="Times New Roman" w:hAnsi="Times New Roman" w:cs="Times New Roman"/>
          <w:b/>
        </w:rPr>
        <w:t>S</w:t>
      </w:r>
      <w:r w:rsidRPr="000451E4">
        <w:rPr>
          <w:rFonts w:ascii="Times New Roman" w:hAnsi="Times New Roman" w:cs="Times New Roman"/>
          <w:b/>
        </w:rPr>
        <w:t>tagnacji w przypisie 47</w:t>
      </w:r>
    </w:p>
    <w:p w:rsidR="00BF038D" w:rsidRDefault="00BF038D" w:rsidP="00BF038D">
      <w:pPr>
        <w:rPr>
          <w:rFonts w:ascii="Times New Roman" w:hAnsi="Times New Roman" w:cs="Times New Roman"/>
        </w:rPr>
      </w:pPr>
      <w:r w:rsidRPr="000451E4">
        <w:rPr>
          <w:rFonts w:ascii="Times New Roman" w:hAnsi="Times New Roman" w:cs="Times New Roman"/>
          <w:b/>
        </w:rPr>
        <w:t>Cytat:</w:t>
      </w:r>
      <w:r w:rsidRPr="00267F8C">
        <w:rPr>
          <w:rFonts w:ascii="Times New Roman" w:hAnsi="Times New Roman" w:cs="Times New Roman"/>
        </w:rPr>
        <w:t xml:space="preserve"> &gt; W szerszym ujęciu koncepcja sekularnej stagnacji opiera się na czterech faktach: (1) spowolnieniu inwestycji pomimo niskich stóp procentowych, (2) niskim wzroście produktywności, (3) wysokich zyskach oraz (4) rosnącym zróżnicowaniu produktywności i zysków między producentami (</w:t>
      </w:r>
      <w:proofErr w:type="spellStart"/>
      <w:r w:rsidRPr="00267F8C">
        <w:rPr>
          <w:rFonts w:ascii="Times New Roman" w:hAnsi="Times New Roman" w:cs="Times New Roman"/>
        </w:rPr>
        <w:t>Haskel</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Westlake</w:t>
      </w:r>
      <w:proofErr w:type="spellEnd"/>
      <w:r w:rsidRPr="00267F8C">
        <w:rPr>
          <w:rFonts w:ascii="Times New Roman" w:hAnsi="Times New Roman" w:cs="Times New Roman"/>
        </w:rPr>
        <w:t>, 2017).</w:t>
      </w:r>
    </w:p>
    <w:p w:rsidR="000451E4" w:rsidRPr="00267F8C" w:rsidRDefault="000451E4" w:rsidP="00BF038D">
      <w:pPr>
        <w:rPr>
          <w:rFonts w:ascii="Times New Roman" w:hAnsi="Times New Roman" w:cs="Times New Roman"/>
        </w:rPr>
      </w:pPr>
    </w:p>
    <w:p w:rsidR="00BF038D" w:rsidRPr="00267F8C" w:rsidRDefault="00BF038D" w:rsidP="00BF038D">
      <w:pPr>
        <w:rPr>
          <w:rFonts w:ascii="Times New Roman" w:hAnsi="Times New Roman" w:cs="Times New Roman"/>
        </w:rPr>
      </w:pPr>
      <w:r w:rsidRPr="000451E4">
        <w:rPr>
          <w:rFonts w:ascii="Times New Roman" w:hAnsi="Times New Roman" w:cs="Times New Roman"/>
          <w:b/>
        </w:rPr>
        <w:t>Uwagi:</w:t>
      </w:r>
      <w:r w:rsidRPr="00267F8C">
        <w:rPr>
          <w:rFonts w:ascii="Times New Roman" w:hAnsi="Times New Roman" w:cs="Times New Roman"/>
        </w:rPr>
        <w:t xml:space="preserve"> W przypisie 47 sekularna stagnacja została opisana jako koncepcja „oparta na czterech faktach” zaczerpniętych z pracy </w:t>
      </w:r>
      <w:proofErr w:type="spellStart"/>
      <w:r w:rsidRPr="00267F8C">
        <w:rPr>
          <w:rFonts w:ascii="Times New Roman" w:hAnsi="Times New Roman" w:cs="Times New Roman"/>
        </w:rPr>
        <w:t>Haskela</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Westlake’a</w:t>
      </w:r>
      <w:proofErr w:type="spellEnd"/>
      <w:r w:rsidRPr="00267F8C">
        <w:rPr>
          <w:rFonts w:ascii="Times New Roman" w:hAnsi="Times New Roman" w:cs="Times New Roman"/>
        </w:rPr>
        <w:t xml:space="preserve"> (2017). Te cztery elementy stanowią istotne stylizowane fakty dotyczące współczesnego funkcjonowania gospodarek rozwiniętych, nie są jednak na ogół uznawane za definicyjną podstawę hipotezy sekularnej stagnacji, która we współczesnej debacie jest zwykle ujmowana poprzez strukturalną nierównowagę między pożądanym poziomem oszczędności a inwestycji, a w niektórych ujęciach także przez spowolnienie fundamentalnych innowacji. Pomocne byłoby wyraźniejsze przedstawienie tych czterech punktów jako prawidłowości empirycznych podkreślanych przez </w:t>
      </w:r>
      <w:proofErr w:type="spellStart"/>
      <w:r w:rsidRPr="00267F8C">
        <w:rPr>
          <w:rFonts w:ascii="Times New Roman" w:hAnsi="Times New Roman" w:cs="Times New Roman"/>
        </w:rPr>
        <w:t>Haskela</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Westlake’a</w:t>
      </w:r>
      <w:proofErr w:type="spellEnd"/>
      <w:r w:rsidRPr="00267F8C">
        <w:rPr>
          <w:rFonts w:ascii="Times New Roman" w:hAnsi="Times New Roman" w:cs="Times New Roman"/>
        </w:rPr>
        <w:t xml:space="preserve"> w kontekście dyskusji o sekularnej stagnacji, a nie jako samego fundamentu tej koncepcji.</w:t>
      </w:r>
    </w:p>
    <w:p w:rsidR="00BF038D" w:rsidRPr="00267F8C" w:rsidRDefault="00BF038D" w:rsidP="00BF038D">
      <w:pPr>
        <w:rPr>
          <w:rFonts w:ascii="Times New Roman" w:hAnsi="Times New Roman" w:cs="Times New Roman"/>
        </w:rPr>
      </w:pPr>
    </w:p>
    <w:p w:rsidR="00BF038D" w:rsidRPr="000451E4" w:rsidRDefault="00BF038D" w:rsidP="00BF038D">
      <w:pPr>
        <w:rPr>
          <w:rFonts w:ascii="Times New Roman" w:hAnsi="Times New Roman" w:cs="Times New Roman"/>
          <w:b/>
        </w:rPr>
      </w:pPr>
      <w:r w:rsidRPr="000451E4">
        <w:rPr>
          <w:rFonts w:ascii="Times New Roman" w:hAnsi="Times New Roman" w:cs="Times New Roman"/>
          <w:b/>
        </w:rPr>
        <w:t>62. Doprecyzowanie rodzajów osobliwości technologicznej w przypisie 48</w:t>
      </w:r>
    </w:p>
    <w:p w:rsidR="00BF038D" w:rsidRDefault="00BF038D" w:rsidP="00BF038D">
      <w:pPr>
        <w:rPr>
          <w:rFonts w:ascii="Times New Roman" w:hAnsi="Times New Roman" w:cs="Times New Roman"/>
        </w:rPr>
      </w:pPr>
      <w:r w:rsidRPr="000451E4">
        <w:rPr>
          <w:rFonts w:ascii="Times New Roman" w:hAnsi="Times New Roman" w:cs="Times New Roman"/>
          <w:b/>
        </w:rPr>
        <w:t>Cytat:</w:t>
      </w:r>
      <w:r w:rsidRPr="00267F8C">
        <w:rPr>
          <w:rFonts w:ascii="Times New Roman" w:hAnsi="Times New Roman" w:cs="Times New Roman"/>
        </w:rPr>
        <w:t xml:space="preserve"> &gt; </w:t>
      </w:r>
      <w:proofErr w:type="spellStart"/>
      <w:r w:rsidRPr="00267F8C">
        <w:rPr>
          <w:rFonts w:ascii="Times New Roman" w:hAnsi="Times New Roman" w:cs="Times New Roman"/>
        </w:rPr>
        <w:t>Aghion</w:t>
      </w:r>
      <w:proofErr w:type="spellEnd"/>
      <w:r w:rsidRPr="00267F8C">
        <w:rPr>
          <w:rFonts w:ascii="Times New Roman" w:hAnsi="Times New Roman" w:cs="Times New Roman"/>
        </w:rPr>
        <w:t xml:space="preserve"> i in. (2019) rozróżniają dwa rodzaje osobliwości technologicznej odbiegającej od wzrostu w stanie ustalonym: (a) eksplozję wzrostu, w której stopy wzrostu rosną bez ograniczeń, lecz w każdej danej chwili pozostają skończone, oraz (b) eksplozję wzrostu, w której nieskończony poziom produkcji zostaje osiągnięty w skończonym czasie.</w:t>
      </w:r>
    </w:p>
    <w:p w:rsidR="000451E4" w:rsidRPr="00267F8C" w:rsidRDefault="000451E4" w:rsidP="00BF038D">
      <w:pPr>
        <w:rPr>
          <w:rFonts w:ascii="Times New Roman" w:hAnsi="Times New Roman" w:cs="Times New Roman"/>
        </w:rPr>
      </w:pPr>
    </w:p>
    <w:p w:rsidR="00BF038D" w:rsidRDefault="00BF038D" w:rsidP="00BF038D">
      <w:pPr>
        <w:rPr>
          <w:rFonts w:ascii="Times New Roman" w:hAnsi="Times New Roman" w:cs="Times New Roman"/>
        </w:rPr>
      </w:pPr>
      <w:r w:rsidRPr="000451E4">
        <w:rPr>
          <w:rFonts w:ascii="Times New Roman" w:hAnsi="Times New Roman" w:cs="Times New Roman"/>
          <w:b/>
        </w:rPr>
        <w:t>Uwagi:</w:t>
      </w:r>
      <w:r w:rsidRPr="00267F8C">
        <w:rPr>
          <w:rFonts w:ascii="Times New Roman" w:hAnsi="Times New Roman" w:cs="Times New Roman"/>
        </w:rPr>
        <w:t xml:space="preserve"> Przypis ten ma na celu rozróżnienie dwóch rodzajów osobliwości technologicznej, jednak zarówno w punkcie (a), jak i (b) użyto określenia „eksplozja wzrostu”, mimo że ich opisy słowne wyraźnie odnoszą się do odmiennych reżimów, to jest nieograniczonego, lecz skończonego w każdym momencie wzrostu oraz osiągnięcia nieskończonego poziomu produkcji w skończonym czasie. Powtórzenie tej samej etykiety może chwilowo zacierać zamierzoną typologię. Pomocne byłoby nadanie drugiemu przypadkowi odrębnego terminu, zgodnego z jego opisem, tak aby oba rodzaje zostały explicite rozróżnione.</w:t>
      </w:r>
    </w:p>
    <w:p w:rsidR="000451E4" w:rsidRPr="00267F8C" w:rsidRDefault="000451E4"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0451E4" w:rsidRDefault="00BF038D" w:rsidP="00BF038D">
      <w:pPr>
        <w:rPr>
          <w:rFonts w:ascii="Times New Roman" w:hAnsi="Times New Roman" w:cs="Times New Roman"/>
          <w:b/>
        </w:rPr>
      </w:pPr>
      <w:r w:rsidRPr="000451E4">
        <w:rPr>
          <w:rFonts w:ascii="Times New Roman" w:hAnsi="Times New Roman" w:cs="Times New Roman"/>
          <w:b/>
        </w:rPr>
        <w:t>63. Rozróżnienie pojęciowe między koncentracją eksportu a koncentracją geograficzną w przypisie 74</w:t>
      </w:r>
    </w:p>
    <w:p w:rsidR="00BF038D" w:rsidRDefault="00BF038D" w:rsidP="00BF038D">
      <w:pPr>
        <w:rPr>
          <w:rFonts w:ascii="Times New Roman" w:hAnsi="Times New Roman" w:cs="Times New Roman"/>
        </w:rPr>
      </w:pPr>
      <w:r w:rsidRPr="000451E4">
        <w:rPr>
          <w:rFonts w:ascii="Times New Roman" w:hAnsi="Times New Roman" w:cs="Times New Roman"/>
          <w:b/>
        </w:rPr>
        <w:t>Cytat:</w:t>
      </w:r>
      <w:r w:rsidRPr="00267F8C">
        <w:rPr>
          <w:rFonts w:ascii="Times New Roman" w:hAnsi="Times New Roman" w:cs="Times New Roman"/>
        </w:rPr>
        <w:t xml:space="preserve"> &gt; Koncentracja eksportu natomiast opiera się na koncepcji koncentracji geograficznej, którą </w:t>
      </w:r>
      <w:proofErr w:type="spellStart"/>
      <w:r w:rsidRPr="00267F8C">
        <w:rPr>
          <w:rFonts w:ascii="Times New Roman" w:hAnsi="Times New Roman" w:cs="Times New Roman"/>
        </w:rPr>
        <w:t>Aiginger</w:t>
      </w:r>
      <w:proofErr w:type="spellEnd"/>
      <w:r w:rsidRPr="00267F8C">
        <w:rPr>
          <w:rFonts w:ascii="Times New Roman" w:hAnsi="Times New Roman" w:cs="Times New Roman"/>
        </w:rPr>
        <w:t xml:space="preserve"> i Davies (2004) definiują jako „stopień, w jakim aktywność w danej branży jest skoncentrowana w kilku krajach”. Geograficzna koncentracja aktywności gospodarczej może prowadzić do specjalizacji, co pokazano w modelach Nowej Geografii Ekonomicznej </w:t>
      </w:r>
      <w:proofErr w:type="spellStart"/>
      <w:r w:rsidRPr="00267F8C">
        <w:rPr>
          <w:rFonts w:ascii="Times New Roman" w:hAnsi="Times New Roman" w:cs="Times New Roman"/>
        </w:rPr>
        <w:t>Krugmana</w:t>
      </w:r>
      <w:proofErr w:type="spellEnd"/>
      <w:r w:rsidRPr="00267F8C">
        <w:rPr>
          <w:rFonts w:ascii="Times New Roman" w:hAnsi="Times New Roman" w:cs="Times New Roman"/>
        </w:rPr>
        <w:t xml:space="preserve"> (</w:t>
      </w:r>
      <w:proofErr w:type="spellStart"/>
      <w:r w:rsidRPr="00267F8C">
        <w:rPr>
          <w:rFonts w:ascii="Times New Roman" w:hAnsi="Times New Roman" w:cs="Times New Roman"/>
        </w:rPr>
        <w:t>Krugman</w:t>
      </w:r>
      <w:proofErr w:type="spellEnd"/>
      <w:r w:rsidRPr="00267F8C">
        <w:rPr>
          <w:rFonts w:ascii="Times New Roman" w:hAnsi="Times New Roman" w:cs="Times New Roman"/>
        </w:rPr>
        <w:t xml:space="preserve">, 1991; </w:t>
      </w:r>
      <w:proofErr w:type="spellStart"/>
      <w:r w:rsidRPr="00267F8C">
        <w:rPr>
          <w:rFonts w:ascii="Times New Roman" w:hAnsi="Times New Roman" w:cs="Times New Roman"/>
        </w:rPr>
        <w:t>Krugman</w:t>
      </w:r>
      <w:proofErr w:type="spellEnd"/>
      <w:r w:rsidRPr="00267F8C">
        <w:rPr>
          <w:rFonts w:ascii="Times New Roman" w:hAnsi="Times New Roman" w:cs="Times New Roman"/>
        </w:rPr>
        <w:t xml:space="preserve"> i </w:t>
      </w:r>
      <w:proofErr w:type="spellStart"/>
      <w:r w:rsidRPr="00267F8C">
        <w:rPr>
          <w:rFonts w:ascii="Times New Roman" w:hAnsi="Times New Roman" w:cs="Times New Roman"/>
        </w:rPr>
        <w:t>Venables</w:t>
      </w:r>
      <w:proofErr w:type="spellEnd"/>
      <w:r w:rsidRPr="00267F8C">
        <w:rPr>
          <w:rFonts w:ascii="Times New Roman" w:hAnsi="Times New Roman" w:cs="Times New Roman"/>
        </w:rPr>
        <w:t xml:space="preserve">, 1990; </w:t>
      </w:r>
      <w:proofErr w:type="spellStart"/>
      <w:r w:rsidRPr="00267F8C">
        <w:rPr>
          <w:rFonts w:ascii="Times New Roman" w:hAnsi="Times New Roman" w:cs="Times New Roman"/>
        </w:rPr>
        <w:t>Fujita</w:t>
      </w:r>
      <w:proofErr w:type="spellEnd"/>
      <w:r w:rsidRPr="00267F8C">
        <w:rPr>
          <w:rFonts w:ascii="Times New Roman" w:hAnsi="Times New Roman" w:cs="Times New Roman"/>
        </w:rPr>
        <w:t xml:space="preserve"> i in., 2001).</w:t>
      </w:r>
    </w:p>
    <w:p w:rsidR="000451E4" w:rsidRPr="00267F8C" w:rsidRDefault="000451E4" w:rsidP="00BF038D">
      <w:pPr>
        <w:rPr>
          <w:rFonts w:ascii="Times New Roman" w:hAnsi="Times New Roman" w:cs="Times New Roman"/>
        </w:rPr>
      </w:pPr>
    </w:p>
    <w:p w:rsidR="00BF038D" w:rsidRDefault="00BF038D" w:rsidP="00BF038D">
      <w:pPr>
        <w:rPr>
          <w:rFonts w:ascii="Times New Roman" w:hAnsi="Times New Roman" w:cs="Times New Roman"/>
        </w:rPr>
      </w:pPr>
      <w:r w:rsidRPr="000451E4">
        <w:rPr>
          <w:rFonts w:ascii="Times New Roman" w:hAnsi="Times New Roman" w:cs="Times New Roman"/>
          <w:b/>
        </w:rPr>
        <w:t>Uwagi:</w:t>
      </w:r>
      <w:r w:rsidRPr="00267F8C">
        <w:rPr>
          <w:rFonts w:ascii="Times New Roman" w:hAnsi="Times New Roman" w:cs="Times New Roman"/>
        </w:rPr>
        <w:t xml:space="preserve"> Przypis rozpoczynający się od słów „Koncentracja eksportu natomiast opiera się na koncepcji koncentracji geograficznej…” zbyt szybko przechodzi od koncentracji eksportu do koncentracji geograficznej, po czym przytacza definicję tej drugiej zaproponowaną przez </w:t>
      </w:r>
      <w:proofErr w:type="spellStart"/>
      <w:r w:rsidRPr="00267F8C">
        <w:rPr>
          <w:rFonts w:ascii="Times New Roman" w:hAnsi="Times New Roman" w:cs="Times New Roman"/>
        </w:rPr>
        <w:t>Aigingera</w:t>
      </w:r>
      <w:proofErr w:type="spellEnd"/>
      <w:r w:rsidRPr="00267F8C">
        <w:rPr>
          <w:rFonts w:ascii="Times New Roman" w:hAnsi="Times New Roman" w:cs="Times New Roman"/>
        </w:rPr>
        <w:t xml:space="preserve"> i Daviesa. Ponieważ w tym rozdziale koncentracja eksportu odnosi się do sposobu, w jaki eksport pojedynczego kraju rozkłada się pomiędzy produkty, podczas gdy „koncentracja geograficzna” u </w:t>
      </w:r>
      <w:proofErr w:type="spellStart"/>
      <w:r w:rsidRPr="00267F8C">
        <w:rPr>
          <w:rFonts w:ascii="Times New Roman" w:hAnsi="Times New Roman" w:cs="Times New Roman"/>
        </w:rPr>
        <w:t>Aigingera</w:t>
      </w:r>
      <w:proofErr w:type="spellEnd"/>
      <w:r w:rsidRPr="00267F8C">
        <w:rPr>
          <w:rFonts w:ascii="Times New Roman" w:hAnsi="Times New Roman" w:cs="Times New Roman"/>
        </w:rPr>
        <w:t xml:space="preserve"> i Daviesa dotyczy sposobu, w jaki aktywność danej branży rozkłada się pomiędzy kraje, warto byłoby wyraźniej zaznaczyć, że chodzi tu o analogię pojęciową, a nie o tożsamość definicyjną. W obecnym brzmieniu sformułowanie „opiera się na” może sugerować silniejszą równoważność, niż zamierzano, i chwilowo wprowadzać czytelnika w niepewność co do tego, który wymiar koncentracji jest faktycznie mierzony.</w:t>
      </w:r>
    </w:p>
    <w:p w:rsidR="000451E4" w:rsidRPr="00267F8C" w:rsidRDefault="000451E4" w:rsidP="00BF038D">
      <w:pPr>
        <w:rPr>
          <w:rFonts w:ascii="Times New Roman" w:hAnsi="Times New Roman" w:cs="Times New Roman"/>
        </w:rPr>
      </w:pPr>
      <w:r>
        <w:rPr>
          <w:rFonts w:ascii="Times New Roman" w:hAnsi="Times New Roman" w:cs="Times New Roman"/>
        </w:rPr>
        <w:t>---</w:t>
      </w:r>
    </w:p>
    <w:p w:rsidR="00BF038D" w:rsidRPr="00267F8C" w:rsidRDefault="00BF038D" w:rsidP="00BF038D">
      <w:pPr>
        <w:rPr>
          <w:rFonts w:ascii="Times New Roman" w:hAnsi="Times New Roman" w:cs="Times New Roman"/>
        </w:rPr>
      </w:pPr>
    </w:p>
    <w:p w:rsidR="00BF038D" w:rsidRPr="000451E4" w:rsidRDefault="00BF038D" w:rsidP="00BF038D">
      <w:pPr>
        <w:rPr>
          <w:rFonts w:ascii="Times New Roman" w:hAnsi="Times New Roman" w:cs="Times New Roman"/>
          <w:b/>
        </w:rPr>
      </w:pPr>
      <w:r w:rsidRPr="000451E4">
        <w:rPr>
          <w:rFonts w:ascii="Times New Roman" w:hAnsi="Times New Roman" w:cs="Times New Roman"/>
          <w:b/>
        </w:rPr>
        <w:t xml:space="preserve">64. Niezgodny opis regresji w nocie do </w:t>
      </w:r>
      <w:r w:rsidR="000451E4">
        <w:rPr>
          <w:rFonts w:ascii="Times New Roman" w:hAnsi="Times New Roman" w:cs="Times New Roman"/>
          <w:b/>
        </w:rPr>
        <w:t>T</w:t>
      </w:r>
      <w:r w:rsidRPr="000451E4">
        <w:rPr>
          <w:rFonts w:ascii="Times New Roman" w:hAnsi="Times New Roman" w:cs="Times New Roman"/>
          <w:b/>
        </w:rPr>
        <w:t>abeli 5.5</w:t>
      </w:r>
    </w:p>
    <w:p w:rsidR="00BF038D" w:rsidRDefault="00BF038D" w:rsidP="00BF038D">
      <w:pPr>
        <w:rPr>
          <w:rFonts w:ascii="Times New Roman" w:hAnsi="Times New Roman" w:cs="Times New Roman"/>
        </w:rPr>
      </w:pPr>
      <w:r w:rsidRPr="000451E4">
        <w:rPr>
          <w:rFonts w:ascii="Times New Roman" w:hAnsi="Times New Roman" w:cs="Times New Roman"/>
          <w:b/>
        </w:rPr>
        <w:t>Cytat:</w:t>
      </w:r>
      <w:r w:rsidRPr="00267F8C">
        <w:rPr>
          <w:rFonts w:ascii="Times New Roman" w:hAnsi="Times New Roman" w:cs="Times New Roman"/>
        </w:rPr>
        <w:t xml:space="preserve"> &gt; Regresja GMM (</w:t>
      </w:r>
      <w:proofErr w:type="spellStart"/>
      <w:r w:rsidRPr="00267F8C">
        <w:rPr>
          <w:rFonts w:ascii="Times New Roman" w:hAnsi="Times New Roman" w:cs="Times New Roman"/>
        </w:rPr>
        <w:t>równ</w:t>
      </w:r>
      <w:proofErr w:type="spellEnd"/>
      <w:r w:rsidRPr="00267F8C">
        <w:rPr>
          <w:rFonts w:ascii="Times New Roman" w:hAnsi="Times New Roman" w:cs="Times New Roman"/>
        </w:rPr>
        <w:t xml:space="preserve">. 3 i </w:t>
      </w:r>
      <w:proofErr w:type="spellStart"/>
      <w:r w:rsidRPr="00267F8C">
        <w:rPr>
          <w:rFonts w:ascii="Times New Roman" w:hAnsi="Times New Roman" w:cs="Times New Roman"/>
        </w:rPr>
        <w:t>równ</w:t>
      </w:r>
      <w:proofErr w:type="spellEnd"/>
      <w:r w:rsidRPr="00267F8C">
        <w:rPr>
          <w:rFonts w:ascii="Times New Roman" w:hAnsi="Times New Roman" w:cs="Times New Roman"/>
        </w:rPr>
        <w:t xml:space="preserve">. 4), zmienna instrumentowana: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DEV_{c,t-1}. Standardowa regresja OLS w </w:t>
      </w:r>
      <w:proofErr w:type="spellStart"/>
      <w:r w:rsidRPr="00267F8C">
        <w:rPr>
          <w:rFonts w:ascii="Times New Roman" w:hAnsi="Times New Roman" w:cs="Times New Roman"/>
        </w:rPr>
        <w:t>równ</w:t>
      </w:r>
      <w:proofErr w:type="spellEnd"/>
      <w:r w:rsidRPr="00267F8C">
        <w:rPr>
          <w:rFonts w:ascii="Times New Roman" w:hAnsi="Times New Roman" w:cs="Times New Roman"/>
        </w:rPr>
        <w:t xml:space="preserve">. 1 i </w:t>
      </w:r>
      <w:proofErr w:type="spellStart"/>
      <w:r w:rsidRPr="00267F8C">
        <w:rPr>
          <w:rFonts w:ascii="Times New Roman" w:hAnsi="Times New Roman" w:cs="Times New Roman"/>
        </w:rPr>
        <w:t>równ</w:t>
      </w:r>
      <w:proofErr w:type="spellEnd"/>
      <w:r w:rsidRPr="00267F8C">
        <w:rPr>
          <w:rFonts w:ascii="Times New Roman" w:hAnsi="Times New Roman" w:cs="Times New Roman"/>
        </w:rPr>
        <w:t>. 2. Stała uwzględniona, nie raportowano. Podział na grupy rozwoju zgodny z tabelą A.1 w Załączniku A.</w:t>
      </w:r>
    </w:p>
    <w:p w:rsidR="000451E4" w:rsidRPr="00267F8C" w:rsidRDefault="000451E4" w:rsidP="00BF038D">
      <w:pPr>
        <w:rPr>
          <w:rFonts w:ascii="Times New Roman" w:hAnsi="Times New Roman" w:cs="Times New Roman"/>
        </w:rPr>
      </w:pPr>
    </w:p>
    <w:p w:rsidR="00BF038D" w:rsidRDefault="00BF038D" w:rsidP="00BF038D">
      <w:pPr>
        <w:rPr>
          <w:rFonts w:ascii="Times New Roman" w:hAnsi="Times New Roman" w:cs="Times New Roman"/>
        </w:rPr>
      </w:pPr>
      <w:r w:rsidRPr="000451E4">
        <w:rPr>
          <w:rFonts w:ascii="Times New Roman" w:hAnsi="Times New Roman" w:cs="Times New Roman"/>
          <w:b/>
        </w:rPr>
        <w:t>Uwagi:</w:t>
      </w:r>
      <w:r w:rsidRPr="00267F8C">
        <w:rPr>
          <w:rFonts w:ascii="Times New Roman" w:hAnsi="Times New Roman" w:cs="Times New Roman"/>
        </w:rPr>
        <w:t xml:space="preserve"> W nocie do </w:t>
      </w:r>
      <w:r w:rsidR="000451E4">
        <w:rPr>
          <w:rFonts w:ascii="Times New Roman" w:hAnsi="Times New Roman" w:cs="Times New Roman"/>
        </w:rPr>
        <w:t>T</w:t>
      </w:r>
      <w:r w:rsidRPr="00267F8C">
        <w:rPr>
          <w:rFonts w:ascii="Times New Roman" w:hAnsi="Times New Roman" w:cs="Times New Roman"/>
        </w:rPr>
        <w:t>abeli 5.5 estymacja została opisana jako „regresja GMM (</w:t>
      </w:r>
      <w:proofErr w:type="spellStart"/>
      <w:r w:rsidRPr="00267F8C">
        <w:rPr>
          <w:rFonts w:ascii="Times New Roman" w:hAnsi="Times New Roman" w:cs="Times New Roman"/>
        </w:rPr>
        <w:t>równ</w:t>
      </w:r>
      <w:proofErr w:type="spellEnd"/>
      <w:r w:rsidRPr="00267F8C">
        <w:rPr>
          <w:rFonts w:ascii="Times New Roman" w:hAnsi="Times New Roman" w:cs="Times New Roman"/>
        </w:rPr>
        <w:t xml:space="preserve">. 3 i </w:t>
      </w:r>
      <w:proofErr w:type="spellStart"/>
      <w:r w:rsidRPr="00267F8C">
        <w:rPr>
          <w:rFonts w:ascii="Times New Roman" w:hAnsi="Times New Roman" w:cs="Times New Roman"/>
        </w:rPr>
        <w:t>równ</w:t>
      </w:r>
      <w:proofErr w:type="spellEnd"/>
      <w:r w:rsidRPr="00267F8C">
        <w:rPr>
          <w:rFonts w:ascii="Times New Roman" w:hAnsi="Times New Roman" w:cs="Times New Roman"/>
        </w:rPr>
        <w:t xml:space="preserve">. 4)… standardowa regresja OLS w </w:t>
      </w:r>
      <w:proofErr w:type="spellStart"/>
      <w:r w:rsidRPr="00267F8C">
        <w:rPr>
          <w:rFonts w:ascii="Times New Roman" w:hAnsi="Times New Roman" w:cs="Times New Roman"/>
        </w:rPr>
        <w:t>równ</w:t>
      </w:r>
      <w:proofErr w:type="spellEnd"/>
      <w:r w:rsidRPr="00267F8C">
        <w:rPr>
          <w:rFonts w:ascii="Times New Roman" w:hAnsi="Times New Roman" w:cs="Times New Roman"/>
        </w:rPr>
        <w:t xml:space="preserve">. 1 i </w:t>
      </w:r>
      <w:proofErr w:type="spellStart"/>
      <w:r w:rsidRPr="00267F8C">
        <w:rPr>
          <w:rFonts w:ascii="Times New Roman" w:hAnsi="Times New Roman" w:cs="Times New Roman"/>
        </w:rPr>
        <w:t>równ</w:t>
      </w:r>
      <w:proofErr w:type="spellEnd"/>
      <w:r w:rsidRPr="00267F8C">
        <w:rPr>
          <w:rFonts w:ascii="Times New Roman" w:hAnsi="Times New Roman" w:cs="Times New Roman"/>
        </w:rPr>
        <w:t xml:space="preserve">. 2”, mimo że tabela ta jest explicite przedstawiona jako zawierająca wyniki dla równania (11). Co więcej, równania 1–4 w rozdziale 3 definiują indeksy, takie jak RCA i </w:t>
      </w:r>
      <w:proofErr w:type="spellStart"/>
      <w:r w:rsidRPr="00267F8C">
        <w:rPr>
          <w:rFonts w:ascii="Times New Roman" w:hAnsi="Times New Roman" w:cs="Times New Roman"/>
        </w:rPr>
        <w:t>Theil</w:t>
      </w:r>
      <w:proofErr w:type="spellEnd"/>
      <w:r w:rsidRPr="00267F8C">
        <w:rPr>
          <w:rFonts w:ascii="Times New Roman" w:hAnsi="Times New Roman" w:cs="Times New Roman"/>
        </w:rPr>
        <w:t xml:space="preserve">, a nie modele regresyjne. W obecnym brzmieniu noty nie da się pogodzić z aktualną numeracją równań i sugeruje ona specyfikacje, które nie odpowiadają faktycznie estymowanym modelom. Konieczne byłoby skorygowanie </w:t>
      </w:r>
      <w:proofErr w:type="spellStart"/>
      <w:r w:rsidRPr="00267F8C">
        <w:rPr>
          <w:rFonts w:ascii="Times New Roman" w:hAnsi="Times New Roman" w:cs="Times New Roman"/>
        </w:rPr>
        <w:t>odwołań</w:t>
      </w:r>
      <w:proofErr w:type="spellEnd"/>
      <w:r w:rsidRPr="00267F8C">
        <w:rPr>
          <w:rFonts w:ascii="Times New Roman" w:hAnsi="Times New Roman" w:cs="Times New Roman"/>
        </w:rPr>
        <w:t xml:space="preserve"> do numerów równań oraz sformułowań dotyczących OLS i GMM tak, aby nota </w:t>
      </w:r>
      <w:r w:rsidRPr="00267F8C">
        <w:rPr>
          <w:rFonts w:ascii="Times New Roman" w:hAnsi="Times New Roman" w:cs="Times New Roman"/>
        </w:rPr>
        <w:lastRenderedPageBreak/>
        <w:t xml:space="preserve">trafnie odzwierciedlała, że </w:t>
      </w:r>
      <w:r w:rsidR="000451E4">
        <w:rPr>
          <w:rFonts w:ascii="Times New Roman" w:hAnsi="Times New Roman" w:cs="Times New Roman"/>
        </w:rPr>
        <w:t>T</w:t>
      </w:r>
      <w:r w:rsidRPr="00267F8C">
        <w:rPr>
          <w:rFonts w:ascii="Times New Roman" w:hAnsi="Times New Roman" w:cs="Times New Roman"/>
        </w:rPr>
        <w:t>abela 5.5 przedstawia wyniki regresji GMM dla równania (11), przy czym (\</w:t>
      </w:r>
      <w:proofErr w:type="spellStart"/>
      <w:r w:rsidRPr="00267F8C">
        <w:rPr>
          <w:rFonts w:ascii="Times New Roman" w:hAnsi="Times New Roman" w:cs="Times New Roman"/>
        </w:rPr>
        <w:t>ln</w:t>
      </w:r>
      <w:proofErr w:type="spellEnd"/>
      <w:r w:rsidRPr="00267F8C">
        <w:rPr>
          <w:rFonts w:ascii="Times New Roman" w:hAnsi="Times New Roman" w:cs="Times New Roman"/>
        </w:rPr>
        <w:t xml:space="preserve"> DEV_{c,t-1}) jest traktowane jako zmienna endogeniczna.</w:t>
      </w:r>
    </w:p>
    <w:p w:rsidR="000451E4" w:rsidRDefault="000451E4" w:rsidP="00BF038D">
      <w:pPr>
        <w:rPr>
          <w:rFonts w:ascii="Times New Roman" w:hAnsi="Times New Roman" w:cs="Times New Roman"/>
        </w:rPr>
      </w:pPr>
    </w:p>
    <w:p w:rsidR="000451E4" w:rsidRDefault="000451E4" w:rsidP="00BF038D">
      <w:pPr>
        <w:rPr>
          <w:rFonts w:ascii="Times New Roman" w:hAnsi="Times New Roman" w:cs="Times New Roman"/>
        </w:rPr>
      </w:pPr>
    </w:p>
    <w:p w:rsidR="000451E4" w:rsidRDefault="000451E4" w:rsidP="00BF038D">
      <w:pPr>
        <w:rPr>
          <w:rFonts w:ascii="Times New Roman" w:hAnsi="Times New Roman" w:cs="Times New Roman"/>
        </w:rPr>
      </w:pPr>
    </w:p>
    <w:p w:rsidR="000451E4" w:rsidRDefault="000451E4" w:rsidP="00BF038D">
      <w:pPr>
        <w:rPr>
          <w:rFonts w:ascii="Times New Roman" w:hAnsi="Times New Roman" w:cs="Times New Roman"/>
        </w:rPr>
      </w:pPr>
      <w:r>
        <w:rPr>
          <w:rFonts w:ascii="Times New Roman" w:hAnsi="Times New Roman" w:cs="Times New Roman"/>
        </w:rPr>
        <w:t>Dokument podpisany cyfrowo przez:</w:t>
      </w:r>
    </w:p>
    <w:p w:rsidR="000451E4" w:rsidRDefault="000451E4" w:rsidP="00BF038D">
      <w:pPr>
        <w:rPr>
          <w:rFonts w:ascii="Times New Roman" w:hAnsi="Times New Roman" w:cs="Times New Roman"/>
        </w:rPr>
      </w:pPr>
      <w:proofErr w:type="spellStart"/>
      <w:r>
        <w:rPr>
          <w:rFonts w:ascii="Times New Roman" w:hAnsi="Times New Roman" w:cs="Times New Roman"/>
        </w:rPr>
        <w:t>Luca</w:t>
      </w:r>
      <w:proofErr w:type="spellEnd"/>
      <w:r>
        <w:rPr>
          <w:rFonts w:ascii="Times New Roman" w:hAnsi="Times New Roman" w:cs="Times New Roman"/>
        </w:rPr>
        <w:t xml:space="preserve"> De </w:t>
      </w:r>
      <w:proofErr w:type="spellStart"/>
      <w:r>
        <w:rPr>
          <w:rFonts w:ascii="Times New Roman" w:hAnsi="Times New Roman" w:cs="Times New Roman"/>
        </w:rPr>
        <w:t>Benedicitis</w:t>
      </w:r>
      <w:proofErr w:type="spellEnd"/>
    </w:p>
    <w:p w:rsidR="000451E4" w:rsidRPr="00267F8C" w:rsidRDefault="000451E4" w:rsidP="00BF038D">
      <w:pPr>
        <w:rPr>
          <w:rFonts w:ascii="Times New Roman" w:hAnsi="Times New Roman" w:cs="Times New Roman"/>
        </w:rPr>
      </w:pPr>
      <w:r>
        <w:rPr>
          <w:rFonts w:ascii="Times New Roman" w:hAnsi="Times New Roman" w:cs="Times New Roman"/>
        </w:rPr>
        <w:t>07.03.2026</w:t>
      </w:r>
    </w:p>
    <w:sectPr w:rsidR="000451E4" w:rsidRPr="00267F8C" w:rsidSect="00D057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2B"/>
    <w:rsid w:val="00032E0D"/>
    <w:rsid w:val="000451E4"/>
    <w:rsid w:val="0007422F"/>
    <w:rsid w:val="000A1B1B"/>
    <w:rsid w:val="001D66EA"/>
    <w:rsid w:val="002066D1"/>
    <w:rsid w:val="00267F8C"/>
    <w:rsid w:val="002948B7"/>
    <w:rsid w:val="003614AD"/>
    <w:rsid w:val="003A56FC"/>
    <w:rsid w:val="004B7076"/>
    <w:rsid w:val="004E090E"/>
    <w:rsid w:val="005308B6"/>
    <w:rsid w:val="00595BE7"/>
    <w:rsid w:val="006B695B"/>
    <w:rsid w:val="00705180"/>
    <w:rsid w:val="0077544D"/>
    <w:rsid w:val="00875F70"/>
    <w:rsid w:val="00890B79"/>
    <w:rsid w:val="00895B37"/>
    <w:rsid w:val="009637C4"/>
    <w:rsid w:val="0097596D"/>
    <w:rsid w:val="009C5F23"/>
    <w:rsid w:val="00A104D1"/>
    <w:rsid w:val="00AC3D61"/>
    <w:rsid w:val="00B116CA"/>
    <w:rsid w:val="00B97CF7"/>
    <w:rsid w:val="00BF038D"/>
    <w:rsid w:val="00C36A2B"/>
    <w:rsid w:val="00D03673"/>
    <w:rsid w:val="00D05795"/>
    <w:rsid w:val="00D55D9B"/>
    <w:rsid w:val="00DD05DD"/>
    <w:rsid w:val="00E329CF"/>
    <w:rsid w:val="00E42A9E"/>
    <w:rsid w:val="00E77A2B"/>
    <w:rsid w:val="00E971B2"/>
    <w:rsid w:val="00F105A3"/>
    <w:rsid w:val="00F17575"/>
    <w:rsid w:val="00FC3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CDB94-CE85-1049-BD22-C4F5AB4E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32E0D"/>
    <w:pPr>
      <w:spacing w:before="100" w:beforeAutospacing="1" w:after="100" w:afterAutospacing="1"/>
    </w:pPr>
    <w:rPr>
      <w:rFonts w:ascii="Times New Roman" w:eastAsia="Times New Roman" w:hAnsi="Times New Roman" w:cs="Times New Roman"/>
    </w:rPr>
  </w:style>
  <w:style w:type="character" w:styleId="Pogrubienie">
    <w:name w:val="Strong"/>
    <w:basedOn w:val="Domylnaczcionkaakapitu"/>
    <w:uiPriority w:val="22"/>
    <w:qFormat/>
    <w:rsid w:val="00032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68225">
      <w:bodyDiv w:val="1"/>
      <w:marLeft w:val="0"/>
      <w:marRight w:val="0"/>
      <w:marTop w:val="0"/>
      <w:marBottom w:val="0"/>
      <w:divBdr>
        <w:top w:val="none" w:sz="0" w:space="0" w:color="auto"/>
        <w:left w:val="none" w:sz="0" w:space="0" w:color="auto"/>
        <w:bottom w:val="none" w:sz="0" w:space="0" w:color="auto"/>
        <w:right w:val="none" w:sz="0" w:space="0" w:color="auto"/>
      </w:divBdr>
      <w:divsChild>
        <w:div w:id="1291472427">
          <w:marLeft w:val="0"/>
          <w:marRight w:val="0"/>
          <w:marTop w:val="0"/>
          <w:marBottom w:val="0"/>
          <w:divBdr>
            <w:top w:val="none" w:sz="0" w:space="0" w:color="auto"/>
            <w:left w:val="none" w:sz="0" w:space="0" w:color="auto"/>
            <w:bottom w:val="none" w:sz="0" w:space="0" w:color="auto"/>
            <w:right w:val="none" w:sz="0" w:space="0" w:color="auto"/>
          </w:divBdr>
          <w:divsChild>
            <w:div w:id="1287588179">
              <w:marLeft w:val="0"/>
              <w:marRight w:val="0"/>
              <w:marTop w:val="0"/>
              <w:marBottom w:val="0"/>
              <w:divBdr>
                <w:top w:val="none" w:sz="0" w:space="0" w:color="auto"/>
                <w:left w:val="none" w:sz="0" w:space="0" w:color="auto"/>
                <w:bottom w:val="none" w:sz="0" w:space="0" w:color="auto"/>
                <w:right w:val="none" w:sz="0" w:space="0" w:color="auto"/>
              </w:divBdr>
              <w:divsChild>
                <w:div w:id="1437557735">
                  <w:marLeft w:val="0"/>
                  <w:marRight w:val="0"/>
                  <w:marTop w:val="0"/>
                  <w:marBottom w:val="0"/>
                  <w:divBdr>
                    <w:top w:val="none" w:sz="0" w:space="0" w:color="auto"/>
                    <w:left w:val="none" w:sz="0" w:space="0" w:color="auto"/>
                    <w:bottom w:val="none" w:sz="0" w:space="0" w:color="auto"/>
                    <w:right w:val="none" w:sz="0" w:space="0" w:color="auto"/>
                  </w:divBdr>
                  <w:divsChild>
                    <w:div w:id="11143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13944</Words>
  <Characters>83665</Characters>
  <Application>Microsoft Office Word</Application>
  <DocSecurity>0</DocSecurity>
  <Lines>697</Lines>
  <Paragraphs>194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Kucharska-Raczunas</dc:creator>
  <cp:keywords/>
  <dc:description/>
  <cp:lastModifiedBy>Elżbieta Krzysztoń</cp:lastModifiedBy>
  <cp:revision>2</cp:revision>
  <dcterms:created xsi:type="dcterms:W3CDTF">2026-03-31T06:36:00Z</dcterms:created>
  <dcterms:modified xsi:type="dcterms:W3CDTF">2026-03-31T06:36:00Z</dcterms:modified>
</cp:coreProperties>
</file>